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PAY-OPS-018: API Payment Flows &amp; Webhook Reconciliation</w:t>
        <w:br/>
        <w:br/>
        <w:t>Purpose &amp; Scope: Governs design, operation, security, and reconciliation of API-initiated payments and webhook-based status notifications. Covers synchronous/asynchronous payment APIs, idempotent requests, callback delivery, retries, and ledger reconciliation across clients and internal systems.</w:t>
        <w:br/>
        <w:br/>
        <w:t>Applicable Payment Corridors &amp; Networks: ACH, RTP, FedNow, SEPA, SEPA Instant, SWIFT gpi, card rails, open banking, and internal book transfers. Applies to REST/JSON, ISO 20022 XML, and file-based APIs.</w:t>
        <w:br/>
        <w:br/>
        <w:t>Invented Processing Systems &amp; Architecture: OmniFlow API gateway authenticates and throttles clients. AegisPay Core validates accounts. NexusRoute routes and transforms messages. SentinelTrace screens API traffic and fraud. MeridianClear executes. CobaltSettlement reconciles webhook events to ledger. VaultGuard manages FX. IronClad logs API and webhook payload hashes.</w:t>
        <w:br/>
        <w:br/>
        <w:t>Detailed Key Steps:</w:t>
        <w:br/>
        <w:t>1. Client registers API credentials; mTLS/OAuth2 scopes assigned.</w:t>
        <w:br/>
        <w:t>2. Client submits payment with idempotency key; OmniFlow validates schema and rate limits.</w:t>
        <w:br/>
        <w:t>3. AegisPay Core validates account data; SentinelTrace screens.</w:t>
        <w:br/>
        <w:t>4. NexusRoute routes to rail; MeridianClear reserves funds and executes.</w:t>
        <w:br/>
        <w:t>5. OmniFlow returns synchronous acknowledgement or async payment ID.</w:t>
        <w:br/>
        <w:t>6. Webhook sent on status change with HMAC signature, timestamp, and event ID.</w:t>
        <w:br/>
        <w:t>7. Client acknowledges webhook; retries with exponential backoff on failure.</w:t>
        <w:br/>
        <w:t>8. CobaltSettlement reconciles webhook events, ledger entries, and network confirmations; exceptions queued.</w:t>
        <w:br/>
        <w:br/>
        <w:t>Bank Account Number Handling: API requests may include account identifiers only over mTLS and encrypted payloads. AegisPay Core tokenizes and stores references; responses and webhooks return masked identifiers or tokens. No full account numbers in logs, query strings, or webhook payloads.</w:t>
        <w:br/>
        <w:br/>
        <w:t>Special Currency Handling: ISO 4217 codes required. VaultGuard provides FX quotes with expiry; expired quotes rejected. Currency-specific decimal precision, rounding, and regulatory reporting applied. Cross-currency APIs must include quote ID and rate lock reference.</w:t>
        <w:br/>
        <w:br/>
        <w:t>Escalation Framework: L1 API Support for authentication/schema errors within 15 min. L2 Payment Ops for routing/execution failures within 30 min. L3 Security for suspected API abuse or key compromise within 15 min. L4 Head of Payment Ops/CISO for systemic API outage or data breach immediately.</w:t>
        <w:br/>
        <w:br/>
        <w:t>RACI Matrix &amp; Responsible Roles: Responsible: API Operations Engineer, Payment Operations Analyst. Accountable: Head of Payment Operations. Consulted: Security, Compliance, Product, Client Services, Treasury. Informed: Finance, Internal Audit, Executive Committee.</w:t>
        <w:br/>
        <w:br/>
        <w:t>Compliance, Regulatory &amp; Audit References: PSD2/Open Banking, GDPR/CCPA, SOC 2, ISO 27001, NIST, OWASP API Security, PCI DSS where card data is in scope, local payment regulations, ISO 20022.</w:t>
        <w:br/>
        <w:br/>
        <w:t>System Integration, Data Flow &amp; API/Webhook Touchpoints: OmniFlow REST/JSON and ISO 20022 APIs; AegisPay Core validation API; NexusRoute routing API; SentinelTrace screening API; MeridianClear execution API; CobaltSettlement recon API; IronClad audit API. Webhooks: payment.status, payment.exception, payment.reconciled, fx.quote.expired.</w:t>
        <w:br/>
        <w:br/>
        <w:t>SLA, Cut-off Times &amp; Settlement Windows: API availability 99.99%; synchronous response under 500ms; asynchronous processing within 5 min; webhook delivery within 30 seconds of event; retries for 24 hours. Cut-offs follow underlying rail. Reconciliation T+0 intraday and T+1 final.</w:t>
        <w:br/>
        <w:br/>
        <w:t>Risk Controls, Exception Handling &amp; Reconciliation: Idempotency keys, mTLS, OAuth2, HMAC webhooks, replay protection, rate limiting, schema validation, duplicate detection, circuit breakers, dead-letter queues, webhook reconciliation, and discrepancy resolution.</w:t>
        <w:br/>
        <w:br/>
        <w:t>Version Control, Approval Workflow &amp; Change Management: Version 1.0. API changes require versioning, deprecation notice, and approval by Payment Ops, Security, Compliance, and Product. Breaking changes require 90-day notice. Emergency changes post-reviewed within 24 hours. Annual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