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Procedure ID &amp; Title: PAY-OPS-026: SWIFT gpi Tracking &amp; End-to-End Payment Monitoring</w:t>
        <w:br/>
        <w:br/>
        <w:t>Purpose &amp; Scope: This procedure defines the operational controls, monitoring obligations, and exception-management workflow for SWIFT gpi payments traversing OmniFlow, NexusRoute, MeridianClear, and SentinelTrace. It applies to cross-border credit transfers requiring UETR lifecycle visibility, gpi Tracker status ingestion, credit confirmation, return handling, and end-to-end payment transparency.</w:t>
        <w:br/>
        <w:br/>
        <w:t>Applicable Payment Corridors &amp; Networks: SWIFT MT103, MT202, MT202 COV, ISO 20022 pacs.008, pacs.009, pacs.002, camt.056, camt.029, SWIFT gpi, CBPR+, TARGET2/T2, CHAPS, Fedwire, and correspondent banking rails where gpi tracking is contractually supported.</w:t>
        <w:br/>
        <w:br/>
        <w:t>Invented Processing Systems &amp; Architecture: OmniFlow ingests SWIFT messages and webhooks; AegisPay Core validates BIC, IBAN, account status, and beneficiary master data; NexusRoute selects correspondent path and transformation rules; SentinelTrace monitors UETR state, latency, and anomaly signals; MeridianClear prepares settlement instructions; CobaltSettlement reconciles gpi confirmations; VaultGuard manages FX and funding; IronClad stores immutable gpi event logs and compliance evidence.</w:t>
        <w:br/>
        <w:br/>
        <w:t xml:space="preserve">Detailed Key Steps: </w:t>
        <w:br/>
        <w:t>1. Ingest pacs.008 or MT103 via OmniFlow; assign or validate the UETR against the source payment instruction.</w:t>
        <w:br/>
        <w:t>2. Validate BIC/IBAN, beneficiary name, amount, currency, charge bearer, and regulatory fields in AegisPay Core.</w:t>
        <w:br/>
        <w:t>3. Apply sanctions, AML, and velocity screening through SentinelTrace; quarantine exceptions before NexusRoute release.</w:t>
        <w:br/>
        <w:t>4. Route through NexusRoute with primary and alternate correspondent selection; persist routing decision, transformation map, and idempotency key.</w:t>
        <w:br/>
        <w:t>5. Submit payment to SWIFT network and subscribe to gpi Tracker events for UETR.</w:t>
        <w:br/>
        <w:t>6. Ingest gpi status updates: ACSP, ACSC, RJCT, PDNG, and credit confirmation events; enrich with camt.052/camt.053 where available.</w:t>
        <w:br/>
        <w:t>7. Reconcile final status in CobaltSettlement against expected settlement date, amount, currency, and charges.</w:t>
        <w:br/>
        <w:t>8. Escalate stuck, rejected, returned, or unconfirmed gpi payments through the exception queue.</w:t>
        <w:br/>
        <w:t>9. Provide client-facing status via OmniFlow webhook and portal; mask sensitive account details in status payloads.</w:t>
        <w:br/>
        <w:br/>
        <w:t>Bank Account Number Handling: IBAN, BBAN, and account numbers must be encrypted at rest, tokenized in event streams, and truncated in logs. Full account numbers are never exposed in gpi status APIs or webhook payloads; only tokenized references, IBAN last four characters, or masked identifiers are permitted. UETR is the primary correlation key.</w:t>
        <w:br/>
        <w:br/>
        <w:t>Special Currency Handling: For CLS-eligible and restricted currencies, NexusRoute must enforce currency-specific cutoffs, correspondent eligibility, and capital-control checks. Non-deliverable currencies require VaultGuard FX rate sourcing and explicit settlement approval. CNY, INR, KRW, and similar controlled currencies require enhanced purpose-code and regulatory-data validation.</w:t>
        <w:br/>
        <w:br/>
        <w:t>Escalation Framework: Tier 1 Payment Operations resolves status anomalies within 15 minutes. Tier 2 SWIFT Support handles UETR mismatch, network rejects, and gpi Tracker gaps within 30 minutes. Tier 3 Treasury/Correspondent Management handles liquidity, nostro, or correspondent failures. Tier 4 Compliance/Legal handles sanctions, regulatory holds, and law-enforcement requests.</w:t>
        <w:br/>
        <w:br/>
        <w:t>RACI Matrix &amp; Responsible Roles: Payment Operations is Responsible for monitoring and exception triage. SWIFT Support is Accountable for network-level UETR resolution. Treasury is Consulted for funding and FX impacts. Compliance is Informed for sanctions or AML holds. IronClad Audit is Responsible for evidence retention. Client Services is Informed for client communications.</w:t>
        <w:br/>
        <w:br/>
        <w:t>Compliance, Regulatory &amp; Audit References: SWIFT CSCF, SWIFT gpi Service Level Agreement, ISO 20022, PSD2, Regulation E where applicable, OFAC, EU Sanctions, FATF Recommendation 16, local cross-border reporting rules, and internal AML/KYC policies.</w:t>
        <w:br/>
        <w:br/>
        <w:t>System Integration, Data Flow &amp; API/Webhook Touchpoints: OmniFlow exposes /v1/gpi/tracker/{uetr}, /v1/payments/status, and webhook topics gpi.status.updated, gpi.credit.confirmed, gpi.return.received. SentinelTrace publishes anomaly events to IronClad. CobaltSettlement consumes camt.053 and pacs.002 for reconciliation. NexusRoute publishes routing decision events.</w:t>
        <w:br/>
        <w:br/>
        <w:t>SLA, Cut-off Times &amp; Settlement Windows: gpi status ingestion SLA is 60 seconds from network event receipt. Client webhook delivery SLA is 2 minutes. Cut-offs follow correspondent and currency-specific SWIFT windows; TARGET2 and CHAPS cut-offs are enforced by NexusRoute. Stuck payment escalation occurs at 60 minutes for urgent payments and 4 hours for standard payments.</w:t>
        <w:br/>
        <w:br/>
        <w:t>Risk Controls, Exception Handling &amp; Reconciliation: Controls include UETR uniqueness, duplicate detection, idempotency keys, sanctions screening, amount tolerance checks, and gpi confirmation reconciliation. Exceptions include UETR mismatch, missing credit confirmation, returned funds, charge discrepancies, and beneficiary account invalid. CobaltSettlement performs daily three-way reconciliation among SWIFT gpi events, MeridianClear settlement records, and VaultGuard funding entries.</w:t>
        <w:br/>
        <w:br/>
        <w:t>Version Control, Approval Workflow &amp; Change Management: Version 1.0. Owner: Head of Payment Operations. Approvers: SWIFT Operations Manager, Compliance Officer, Treasury Lead, and Internal Audit. Changes require change request, impact assessment, UAT evidence, and IronClad change-log entry. Emergency changes require dual approval and post-implementation review within 24 hours.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