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PAY-OPS-027: Intraday Credit &amp; Liquidity Optimization Strategies</w:t>
        <w:br/>
        <w:br/>
        <w:t>Purpose &amp; Scope: This procedure governs intraday liquidity monitoring, credit-line utilization, funding optimization, and real-time liquidity allocation across payment rails. It ensures sufficient prefunding for RTGS, RTP, ACH, card, and cross-border settlement while minimizing idle balances and intraday credit exposure.</w:t>
        <w:br/>
        <w:br/>
        <w:t>Applicable Payment Corridors &amp; Networks: Fedwire, CHIPS, TARGET2/T2, CHAPS, RTP, FedNow, SEPA Instant, ACH, SWIFT correspondent banking, and merchant payout networks.</w:t>
        <w:br/>
        <w:br/>
        <w:t>Invented Processing Systems &amp; Architecture: VaultGuard manages liquidity pools, FX rates, and funding accounts; MeridianClear sequences settlement instructions; CobaltSettlement matches actual positions to forecasts; SentinelTrace detects abnormal liquidity consumption; NexusRoute provides routing cost and timing inputs; OmniFlow exposes treasury APIs and webhooks; IronClad archives liquidity decisions and approvals.</w:t>
        <w:br/>
        <w:br/>
        <w:t xml:space="preserve">Detailed Key Steps: </w:t>
        <w:br/>
        <w:t>1. Generate intraday liquidity forecast from payment queues, settlement calendars, and historical flows.</w:t>
        <w:br/>
        <w:t>2. Ingest real-time nostro, vostro, central-bank, and commercial-bank balances through VaultGuard.</w:t>
        <w:br/>
        <w:t>3. Calculate projected intraday positions by currency, legal entity, and settlement window.</w:t>
        <w:br/>
        <w:t>4. Compare projected positions against internal buffers, regulatory liquidity metrics, and credit-line limits.</w:t>
        <w:br/>
        <w:t>5. Initiate automated funding, sweeps, FX swaps, or credit drawdowns as required.</w:t>
        <w:br/>
        <w:t>6. Release MeridianClear settlement instructions only when prefunding conditions are met.</w:t>
        <w:br/>
        <w:t>7. Monitor intraday consumption via SentinelTrace and trigger throttling when limits approach thresholds.</w:t>
        <w:br/>
        <w:t>8. Reconcile intraday positions in CobaltSettlement against actual central-bank and correspondent statements.</w:t>
        <w:br/>
        <w:t>9. Optimize end-of-day liquidity by returning excess funds, rolling FX swaps, or reducing credit usage.</w:t>
        <w:br/>
        <w:br/>
        <w:t>Bank Account Number Handling: Funding, nostro, vostro, and pooled account numbers must be tokenized in liquidity APIs and encrypted in VaultGuard. Full account numbers are visible only to authorized Treasury and Payment Operations roles. Virtual account mappings must be validated through AegisPay Core and logged in IronClad.</w:t>
        <w:br/>
        <w:br/>
        <w:t>Special Currency Handling: VaultGuard must maintain currency-specific buffers for USD, EUR, GBP, JPY, CNY, and other settlement currencies. Restricted currencies require pre-approval for funding and repatriation. FX swaps must respect currency cut-offs, capital controls, and VaultGuard rate-source hierarchy.</w:t>
        <w:br/>
        <w:br/>
        <w:t>Escalation Framework: Tier 1 Treasury Operations resolves forecast variance within 15 minutes. Tier 2 Liquidity Desk approves credit drawdowns and FX swaps within 30 minutes. Tier 3 Treasury Head approves emergency funding or limit breaches. Tier 4 CFO/ALCO is notified for severe liquidity events, regulatory breaches, or market dislocation.</w:t>
        <w:br/>
        <w:br/>
        <w:t>RACI Matrix &amp; Responsible Roles: Treasury Operations is Responsible for monitoring and funding execution. Liquidity Desk is Accountable for intraday credit decisions. Payment Operations is Consulted for payment queue priorities. Risk is Consulted for limit breaches. Compliance is Informed for regulatory liquidity reporting. IronClad is Responsible for audit evidence.</w:t>
        <w:br/>
        <w:br/>
        <w:t>Compliance, Regulatory &amp; Audit References: Basel III LCR, NSFR, intraday liquidity monitoring tools, Reg YY, PRA liquidity rules, EBA liquidity guidelines, local central-bank reserve requirements, and internal funds-transfer policies.</w:t>
        <w:br/>
        <w:br/>
        <w:t>System Integration, Data Flow &amp; API/Webhook Touchpoints: VaultGuard exposes /v1/liquidity/positions, /v1/liquidity/funding, and webhooks liquidity.threshold.breached, funding.completed. MeridianClear consumes funding authorization tokens. CobaltSettlement ingests camt.052/camt.053. SentinelTrace publishes liquidity anomaly events.</w:t>
        <w:br/>
        <w:br/>
        <w:t>SLA, Cut-off Times &amp; Settlement Windows: Forecast refresh every 5 minutes. Funding transfer execution within 10 minutes of approval. Critical RTGS windows are monitored continuously. End-of-day liquidity reconciliation within 60 minutes of settlement close. Emergency funding approval target is 15 minutes.</w:t>
        <w:br/>
        <w:br/>
        <w:t>Risk Controls, Exception Handling &amp; Reconciliation: Controls include buffer thresholds, dual approval for credit drawdowns, FX rate validation, and limit monitoring. Exceptions include funding shortfall, late settlement, duplicate funding, failed FX swap, and unreconciled nostro balance. CobaltSettlement performs intraday and end-of-day reconciliation with variance tolerance thresholds.</w:t>
        <w:br/>
        <w:br/>
        <w:t>Version Control, Approval Workflow &amp; Change Management: Version 1.0. Owner: Head of Treasury Operations. Approvers: Treasurer, Head of Payment Operations, Risk Officer, and Compliance Officer. Changes require liquidity impact assessment, UAT, and IronClad audit entry. Emergency changes require dual approval and 24-hour retrospective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