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PAY-OPS-030: Payment Data Governance &amp; Privacy Compliance</w:t>
        <w:br/>
        <w:br/>
        <w:t>Purpose &amp; Scope: This procedure establishes data classification, privacy, retention, minimization, access control, and cross-border transfer requirements for payment data. It applies to all payment instructions, account identifiers, KYC records, webhook payloads, logs, and audit archives across OmniFlow, AegisPay Core, NexusRoute, SentinelTrace, MeridianClear, CobaltSettlement, VaultGuard, and IronClad.</w:t>
        <w:br/>
        <w:br/>
        <w:t>Applicable Payment Corridors &amp; Networks: All domestic and cross-border corridors, including ACH, RTP, FedNow, Fedwire, CHIPS, SWIFT, SEPA, SEPA Instant, Faster Payments, CHAPS, TARGET2/T2, card networks, and wallet payout rails.</w:t>
        <w:br/>
        <w:br/>
        <w:t>Invented Processing Systems &amp; Architecture: IronClad acts as the immutable audit and privacy control gateway; OmniFlow applies API-level data masking and webhook redaction; AegisPay Core tokenizes bank account numbers; SentinelTrace enforces access controls and monitors anomalous data access; CobaltSettlement retains reconciliation data under retention schedules; VaultGuard protects funding account data; NexusRoute enforces jurisdiction-aware routing.</w:t>
        <w:br/>
        <w:br/>
        <w:t xml:space="preserve">Detailed Key Steps: </w:t>
        <w:br/>
        <w:t>1. Maintain a data map of payment data elements, systems, processors, and cross-border flows.</w:t>
        <w:br/>
        <w:t>2. Classify data as public, internal, confidential, restricted, or payment-sensitive.</w:t>
        <w:br/>
        <w:t>3. Apply data minimization at ingestion: collect only required payment, regulatory, and KYC fields.</w:t>
        <w:br/>
        <w:t>4. Tokenize or encrypt bank account numbers, IBANs, BICs, and customer identifiers.</w:t>
        <w:br/>
        <w:t>5. Enforce role-based access control, least privilege, and break-glass procedures.</w:t>
        <w:br/>
        <w:t>6. Apply retention schedules by jurisdiction, corridor, and regulatory requirement.</w:t>
        <w:br/>
        <w:t>7. Execute secure deletion, anonymization, or archival at end of retention.</w:t>
        <w:br/>
        <w:t>8. Process data subject rights requests for access, correction, deletion, or portability where applicable.</w:t>
        <w:br/>
        <w:t>9. Monitor cross-border transfers and apply Standard Contractual Clauses, adequacy decisions, or derogations.</w:t>
        <w:br/>
        <w:t>10. Manage privacy incidents and regulatory breach notifications within statutory timelines.</w:t>
        <w:br/>
        <w:br/>
        <w:t>Bank Account Number Handling: Bank account numbers must be encrypted in transit and at rest, vaulted in AegisPay Core, tokenized in downstream systems, and masked in user interfaces, logs, webhooks, and reports. IronClad stores only tokenized references, access logs, and cryptographic hashes. Key management follows dual control and rotation policy.</w:t>
        <w:br/>
        <w:br/>
        <w:t>Special Currency Handling: Cross-border payment data involving restricted currencies may require local data residency, regulator access, or capital-control reporting. Data transfers from EEA/UK to third countries require valid transfer mechanisms. Jurisdictions with data-localization laws must route and store data according to NexusRoute jurisdictional rules.</w:t>
        <w:br/>
        <w:br/>
        <w:t>Escalation Framework: Tier 1 Privacy Operations resolves access and correction requests within 5 business days. Tier 2 Data Protection Officer reviews complex DSRs and cross-border transfer issues. Tier 3 Legal/Compliance approves retention exceptions and regulator disclosures. Tier 4 Incident Response handles data breaches and notification obligations.</w:t>
        <w:br/>
        <w:br/>
        <w:t>RACI Matrix &amp; Responsible Roles: Data Protection Officer is Accountable for privacy compliance. Payment Operations is Responsible for data minimization and accurate processing. Security is Responsible for access controls and encryption. Legal is Consulted for cross-border transfers. IronClad is Responsible for immutable audit logs. Compliance is Informed of material incidents.</w:t>
        <w:br/>
        <w:br/>
        <w:t>Compliance, Regulatory &amp; Audit References: GDPR, UK GDPR, CCPA/CPRA, GLBA, PSD2, PCI DSS where card data is in scope, ISO 27001, SOC 2, SWIFT CSP, local data-localization laws, and internal records-retention schedules.</w:t>
        <w:br/>
        <w:br/>
        <w:t>System Integration, Data Flow &amp; API/Webhook Touchpoints: OmniFlow applies field-level redaction for webhooks. AegisPay Core exposes /v1/tokenization/accounts and /v1/data/classification. IronClad exposes audit retrieval APIs. SentinelTrace monitors unauthorized access. CobaltSettlement exports anonymized reconciliation reports. VaultGuard protects funding account data via HSM-backed encryption.</w:t>
        <w:br/>
        <w:br/>
        <w:t>SLA, Cut-off Times &amp; Settlement Windows: DSR acknowledgment within 72 hours; substantive response within 30 calendar days unless extended by law. Breach assessment within 24 hours; regulator notification within 72 hours where required. Retention review annually. Access revocation within 4 hours of termination. Encryption key rotation at least annually.</w:t>
        <w:br/>
        <w:br/>
        <w:t>Risk Controls, Exception Handling &amp; Reconciliation: Controls include data classification, tokenization, encryption, access reviews, DLP, consent tracking, and retention automation. Exceptions include unauthorized access, misdirected webhook, excessive data retention, cross-border transfer violation, and DSR backlog. IronClad reconciles access logs against approved roles monthly.</w:t>
        <w:br/>
        <w:br/>
        <w:t>Version Control, Approval Workflow &amp; Change Management: Version 1.0. Owner: Data Protection Officer. Approvers: Head of Payment Operations, Chief Information Security Officer, Legal Counsel, and Compliance Officer. Changes require privacy impact assessment, data-flow review, UAT, and IronClad change-log entry. Emergency changes require dual approval and retrospective privacy review within 5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