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OperationalRAG Audit Log</w:t>
      </w:r>
    </w:p>
    <w:p>
      <w:pPr>
        <w:pStyle w:val="Heading1"/>
      </w:pPr>
      <w:r>
        <w:t>User Question:</w:t>
      </w:r>
    </w:p>
    <w:p>
      <w:r>
        <w:t>Compare how non-USD instructions are handled in Domestic ACH Originations versus real-time payments.</w:t>
      </w:r>
    </w:p>
    <w:p>
      <w:pPr>
        <w:pStyle w:val="Heading1"/>
      </w:pPr>
      <w:r>
        <w:t>AI Generated Answer:</w:t>
      </w:r>
    </w:p>
    <w:p>
      <w:r>
        <w:t>The handling of non-USD instructions in Domestic ACH Originations and real-time payments is as follows:</w:t>
        <w:br/>
        <w:br/>
        <w:t>1. **Domestic ACH Originations (PAY-OPS-001)**: Non-USD instructions must be rejected or routed to the cross-border SWIFT or FX corridor. Additionally, any foreign-currency beneficiary instruction must be stopped and escalated to NexusRoute for corridor reclassification.</w:t>
        <w:br/>
        <w:br/>
        <w:t>2. **Real-Time Payments (PAY-OPS-003)**: The notes do not specify how non-USD instructions are handled in real-time payments. However, it does mention that FX conversion within instant payments is prohibited, and any multi-currency instant payout use case requires separate Treasury and Compliance approval.</w:t>
        <w:br/>
        <w:br/>
        <w:t xml:space="preserve">In summary, while Domestic ACH Originations explicitly reject non-USD instructions or route them appropriately, the handling of non-USD instructions in real-time payments is not detailed, but FX conversion is prohibited. </w:t>
        <w:br/>
        <w:br/>
        <w:t>Sources: PAY-OPS-001 and PAY-OPS-003.</w:t>
      </w:r>
    </w:p>
    <w:p>
      <w:pPr>
        <w:pStyle w:val="Heading1"/>
      </w:pPr>
      <w:r>
        <w:t>Supporting Evidence (Retrieved Chunks):</w:t>
      </w:r>
    </w:p>
    <w:p>
      <w:r>
        <w:t>File: and IronClad audit logging. Any export containing account data requires encryption and data-loss-prevention review. Special Currency Handling: ACH origination is restricted to USD. Non-USD instructions must be rejected or routed to the cross-border SWIFT or FX corridor. Amounts are processed in minor units, with two decimal places for USD. FX conversion is prohibited within the ACH origination file. Any foreign-currency beneficiary instruction must be stopped and escalated to NexusRoute for corridor reclassification. Escalation Framework: Level 1: Payment Operations Analyst resolves validation, formatting, and acknowledgement exceptions within 15 minutes. Level 2: ACH Operations Lead resolves file rejection, return-code anomalies, and funding mismatches within 30 minutes. Level 3: Head of Payment Operations, Risk, and Compliance resolve regulatory, sanctions, or repeated return issues within 1 hour. Level 4: Chief Operating Officer, Chief Risk Officer, and Chief Technology Officer for systemic outage, regulatory breach, or material settlement failure. Suspected sanctions or AML breaches must be escalated to the Compliance Officer within 24 hours. RACI Matrix &amp; Responsible Roles: Responsible: Payment Operations Analyst, ACH File Operator. Accountable: Head of Payment Operations. Consulted: Compliance, Risk, Treasury, Engineering, Client Services. Informed: Finance, Internal Audit, Relationship Management. Dual control is required for file release, originator limit changes, and return-code overrides. 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 System Integration,</w:t>
        <w:br/>
        <w:t>Content: PAY-OPS-001.docx</w:t>
        <w:br/>
        <w:t>------------------------------</w:t>
      </w:r>
    </w:p>
    <w:p>
      <w:r>
        <w:t>File: Procedure ID &amp; Title: PAY-OPS-001: Domestic ACH Origination &amp; Validation Purpose &amp; Scope: This procedure governs the end-to-end origination, validation, authorization, file creation, transmission, acknowledgement, return processing, and reconciliation of domestic ACH credit and debit transactions. It applies to standard ACH, same-day ACH, prearranged payments, recurring payments, corporate cash concentration, vendor payouts, and consumer-initiated entries. The scope includes originator onboarding, account validation, NACHA file formatting, ODFI transmission, return/NOC handling, and settlement funding. Applicable Payment Corridors &amp; Networks: Federal Reserve FedACH, Electronic Payments Network, same-day ACH windows, standard ACH settlement, and applicable RDFI return channels. Supported Standard Entry Class codes include PPD, CCD, CTX, WEB, TEL, and IAT only where explicitly approved. Invented Processing Systems &amp; Architecture: OmniFlow receives originator instructions through API, SFTP, and webhook ingestion. AegisPay Core validates originator entitlements, account status, routing transit numbers, and master data. NexusRoute selects FedACH or EPN and formats NACHA-compliant files. SentinelTrace performs fraud scoring, velocity checks, duplicate detection, and negative-file screening. MeridianClear prepares settlement batches and net funding positions. VaultGuard verifies liquidity. CobaltSettlement performs reconciliation and return matching. IronClad archives immutable audit records and compliance evidence. Detailed Key Steps: 1. Ingest payment instructions through OmniFlow with required idempotency key, originator ID, SEC code, effective date, and authorization evidence. 2. AegisPay Core validates the originator’s status, account restrictions, and routing number using ABA mod-10 checksum. 3. Validate receiver account ownership using tokenized DDA validation, prenotification, micro-deposit confirmation, or approved account-validation vendor. 4. SentinelTrace applies fraud rules, velocity thresholds, duplicate hash matching, return-history scoring,</w:t>
        <w:br/>
        <w:t>Content: PAY-OPS-001.docx</w:t>
        <w:br/>
        <w:t>------------------------------</w:t>
      </w:r>
    </w:p>
    <w:p>
      <w:r>
        <w:t>File: and recurring schedule changes; reconcile return file totals. Bank Account Number Handling: Account and routing numbers are tokenized, encrypted, and masked. NOCs update tokenized vault references only; clear-text account numbers are never exposed in reports or webhooks. Special Currency Handling: ACH is USD-only. Foreign-currency equivalent transactions must route through cross-border or FX procedures. Decimal precision is two places for USD. Escalation Framework: Tier 1 ACH Operations handles standard returns; Tier 2 Disputes handles unauthorized returns and Reg E claims; Tier 3 Fraud handles return-pattern anomalies; Compliance handles regulatory reporting; Legal handles litigation holds. RACI Matrix &amp; Responsible Roles: Responsible: ACH Operations, Disputes Team. Accountable: Head of Payment Operations. Consulted: Compliance, Fraud, Product, Client Services. Informed: Finance, Audit. Compliance, Regulatory &amp; Audit References: NACHA Operating Rules, Reg E, UCC Article 4A, OFAC, BSA/AML, internal return and reinitiation policy. System Integration, Data Flow &amp; API/Webhook Touchpoints: POST /v1/ach/returns, POST /v1/ach/reversals, PATCH /v1/recurring/mandates; webhooks ach.returned, ach.reversed, ach.noc.received, recurring.mandate.updated; ACH operator file exchange; IronClad audit log. SLA, Cut-off Times &amp; Settlement Windows: Return processing within one business day of receipt; Same Day ACH windows follow operator cut-offs; reversal release within 2 hours for high-priority cases; recurring mandate updates within 1 business day. Risk Controls, Exception Handling &amp; Reconciliation: Return code validation, duplicate return detection, representment eligibility checks, stop-payment controls, mandate audit trail, daily ACH reconciliation, exception queue aging, fraud pattern monitoring. Version Control, Approval Workflow &amp; Change Management: Version 1.0; owner ACH Operations Manager; approvers Compliance, Product, Engineering; changes require NACHA rule impact review,</w:t>
        <w:br/>
        <w:t>Content: PAY-OPS-023.docx</w:t>
        <w:br/>
        <w:t>------------------------------</w:t>
      </w:r>
    </w:p>
    <w:p>
      <w:r>
        <w:t>File: precision. FX conversion within instant payments is prohibited. Any multi-currency instant payout use case requires separate Treasury and Compliance approval. Escalation Framework: Level 1: Real-Time Operations Analyst resolves latency, rejection, and webhook failures within 5 minutes. Level 2: Instant Payments Lead resolves network connectivity, participant reachability, and alias exceptions within 10 minutes. Level 3: Head of Payment Operations, Risk, and Treasury resolve liquidity, fraud, or systemic network issues within 15 minutes. Level 4: CTO, CRO, and COO for network-wide outage, cyber incident, or material fraud loss. Suspected fraud must trigger SentinelTrace case creation immediately. RACI Matrix &amp; Responsible Roles: Responsible: Real-Time Operations Analyst, Instant Payments Engineer. Accountable: Head of Payment Operations. Consulted: Fraud, Compliance, Treasury, Engineering, Client Services. Informed: Finance, Internal Audit, Executive Incident Management. High-value instant payments require dual approval and enhanced fraud review. Compliance, Regulatory &amp; Audit References: The Clearing House RTP Operating Rules, FedNow Operating Rules, Regulation J where applicable, UCC Article 4A, OFAC, BSA/AML, FinCEN, state money transmitter laws, privacy regulations, and network participation agreements. Audit logs must support network dispute and regulatory inquiry. System Integration, Data Flow &amp; API/Webhook Touchpoints: OmniFlow exposes POST /v1/rtp/transfers, POST /v1/rtp/requests, GET /v1/rtp/status/{id}, and webhooks rtp.transfer.settled, rtp.transfer.rejected, rtp.request.received, and rtp.return.requested. AegisPay Core exposes /validate/alias and /validate/account. NexusRoute exposes /route/instant. SentinelTrace exposes /screen/instant. VaultGuard exposes /liquidity/instant. CobaltSettlement exposes /recon/instant. IronClad exposes /audit/instant. SLA, Cut-off Times &amp; Settlement Windows: RTP and FedNow operate 24/7/365 with no traditional cut-off. Internal processing SLA is under 20 seconds end-to-end, with network submission within 5 seconds</w:t>
        <w:br/>
        <w:t>Content: PAY-OPS-003.docx</w:t>
        <w:br/>
        <w:t>------------------------------</w:t>
      </w:r>
    </w:p>
    <w:p>
      <w:r>
        <w:t>File: return-code overrides. 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 System Integration, Data Flow &amp; API/Webhook Touchpoints: OmniFlow exposes POST /v1/ach/originations, GET /v1/ach/batches/{id}, and webhooks ach.file.accepted, ach.file.rejected, ach.return.received, and ach.noc.received. AegisPay Core exposes /validate/account and /validate/routing. NexusRoute exposes /route/ach and /transform/nacha. SentinelTrace exposes /screen/fraud. MeridianClear exposes /settle/ach. CobaltSettlement exposes /recon/ach. IronClad exposes /audit/events. All API calls require mTLS, OAuth 2.0 scopes, request signing, and idempotency keys. SLA, Cut-off Times &amp; Settlement Windows: Same-day ACH submissions must be released before 10:30 ET and 14:45 ET local Federal Reserve windows. Standard ACH files must be released before 16:45 ET for next-day settlement unless the ODFI defines an earlier deadline. Return processing must complete within two banking days for consumer entries and within the NACHA-defined timeframe for corporate entries. Reconciliation must complete by 09:00 ET on the next banking day. Incident response acknowledgement is 15 minutes, with status updates every 30 minutes. Risk Controls, Exception Handling &amp; Reconciliation: Controls include dual release, originator exposure limits, velocity limits, duplicate detection, prenotification, micro-deposit validation, negative-file screening, and returned-item monitoring. Exceptions include invalid routing number, closed account, unauthorized return, insufficient funds, duplicate entry, and OFAC match. CobaltSettlement performs file-to-settlement, settlement-to-GL, and return-to-original-entry matching. Unmatched items enter an exception queue with ageing thresholds. Repeated return rates above network thresholds</w:t>
        <w:br/>
        <w:t>Content: PAY-OPS-001.docx</w:t>
        <w:br/>
        <w:t>------------------------------</w:t>
      </w:r>
    </w:p>
    <w:p>
      <w:r>
        <w:br/>
        <w:br/>
        <w:t>DISCLAIMER: This is an AI-generated response. The user MUST manually verify this information against the original procedural documents in the source folder before taking operational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