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OperationalRAG Audit Log</w:t>
      </w:r>
    </w:p>
    <w:p>
      <w:pPr>
        <w:pStyle w:val="Heading1"/>
      </w:pPr>
      <w:r>
        <w:t>User Question:</w:t>
      </w:r>
    </w:p>
    <w:p>
      <w:r>
        <w:t>What are the steps to make payment to ACH?</w:t>
      </w:r>
    </w:p>
    <w:p>
      <w:pPr>
        <w:pStyle w:val="Heading1"/>
      </w:pPr>
      <w:r>
        <w:t>AI Generated Answer:</w:t>
      </w:r>
    </w:p>
    <w:p>
      <w:r>
        <w:t>The steps to make a payment to ACH are outlined in the document PAY-OPS-001: Domestic ACH Origination &amp; Validation. The detailed key steps are as follows:</w:t>
        <w:br/>
        <w:br/>
        <w:t>1. Ingest payment instructions through OmniFlow with required idempotency key, originator ID, SEC code, effective date, and authorization evidence.</w:t>
        <w:br/>
        <w:t>2. AegisPay Core validates the originator’s status, account restrictions, and routing number using ABA mod-10 checksum.</w:t>
        <w:br/>
        <w:t>3. Validate receiver account ownership using tokenized DDA validation, prenotification, micro-deposit confirmation, or approved account-validation vendor.</w:t>
        <w:br/>
        <w:t>4. SentinelTrace applies fraud rules, velocity thresholds, duplicate hash matching, return-history scoring.</w:t>
        <w:br/>
        <w:br/>
        <w:t xml:space="preserve">These steps ensure the proper origination and validation of ACH transactions. </w:t>
        <w:br/>
        <w:br/>
        <w:t>Source: PAY-OPS-001, Procedure Reference: PAY-OPS-001.</w:t>
      </w:r>
    </w:p>
    <w:p>
      <w:pPr>
        <w:pStyle w:val="Heading1"/>
      </w:pPr>
      <w:r>
        <w:t>Supporting Evidence (Retrieved Chunks):</w:t>
      </w:r>
    </w:p>
    <w:p>
      <w:r>
        <w:t>File: Procedure ID &amp; Title: PAY-OPS-001: Domestic ACH Origination &amp; Validation Purpose &amp; Scope: This procedure governs the end-to-end origination, validation, authorization, file creation, transmission, acknowledgement, return processing, and reconciliation of domestic ACH credit and debit transactions. It applies to standard ACH, same-day ACH, prearranged payments, recurring payments, corporate cash concentration, vendor payouts, and consumer-initiated entries. The scope includes originator onboarding, account validation, NACHA file formatting, ODFI transmission, return/NOC handling, and settlement funding. Applicable Payment Corridors &amp; Networks: Federal Reserve FedACH, Electronic Payments Network, same-day ACH windows, standard ACH settlement, and applicable RDFI return channels. Supported Standard Entry Class codes include PPD, CCD, CTX, WEB, TEL, and IAT only where explicitly approved. Invented Processing Systems &amp; Architecture: OmniFlow receives originator instructions through API, SFTP, and webhook ingestion. AegisPay Core validates originator entitlements, account status, routing transit numbers, and master data. NexusRoute selects FedACH or EPN and formats NACHA-compliant files. SentinelTrace performs fraud scoring, velocity checks, duplicate detection, and negative-file screening. MeridianClear prepares settlement batches and net funding positions. VaultGuard verifies liquidity. CobaltSettlement performs reconciliation and return matching. IronClad archives immutable audit records and compliance evidence. Detailed Key Steps: 1. Ingest payment instructions through OmniFlow with required idempotency key, originator ID, SEC code, effective date, and authorization evidence. 2. AegisPay Core validates the originator’s status, account restrictions, and routing number using ABA mod-10 checksum. 3. Validate receiver account ownership using tokenized DDA validation, prenotification, micro-deposit confirmation, or approved account-validation vendor. 4. SentinelTrace applies fraud rules, velocity thresholds, duplicate hash matching, return-history scoring,</w:t>
        <w:br/>
        <w:t>Content: PAY-OPS-001.docx</w:t>
        <w:br/>
        <w:t>------------------------------</w:t>
      </w:r>
    </w:p>
    <w:p>
      <w:r>
        <w:t>File: Procedure ID &amp; Title: PAY-OPS-023: ACH Returns, Reversals &amp; Recurring Payment Management Purpose &amp; Scope: Manage ACH returns, reversals, notifications of change, stop payments, recurring payment mandates, reinitiation rules, and customer communication for unauthorized or failed transactions. Scope includes origination and receipt of ACH files and same-day ACH. Applicable Payment Corridors &amp; Networks: NACHA ACH, Same Day ACH, legacy ACH, and equivalent domestic batch schemes where supported. Excludes Fedwire/CHIPS high-value wires and card chargebacks. Invented Processing Systems &amp; Architecture: OmniFlow receives return files and webhooks; AegisPay Core validates account and mandate state; NexusRoute maps return codes and routes representment decisions; SentinelTrace detects return fraud patterns; MeridianClear sequences reversals and reinitiations; CobaltSettlement reconciles return files; IronClad archives evidence. Detailed Key Steps: - Receive ACH return file or webhook; parse return codes such as R01, R02, R03, R04, R05, R07, R10, R11, R29, and NOC codes. - Validate return authenticity, original payment, settlement date, and applicable return window. - Update payment status to returned/reversed; release or reverse funds per ledger rules. - Determine representment, reinitiation, or write-off eligibility under NACHA rules and internal policy. - Process NOCs to update recurring mandate routing/account data with customer notification. - Manage stop payments, revoked authorizations, and recurring schedule changes; reconcile return file totals. Bank Account Number Handling: Account and routing numbers are tokenized, encrypted, and masked. NOCs update tokenized vault references only; clear-text account numbers are never exposed in reports or webhooks. Special Currency Handling: ACH is USD-only. Foreign-currency equivalent transactions must route through cross-border</w:t>
        <w:br/>
        <w:t>Content: PAY-OPS-023.docx</w:t>
        <w:br/>
        <w:t>------------------------------</w:t>
      </w:r>
    </w:p>
    <w:p>
      <w:r>
        <w:t>File: return-code overrides. Compliance, Regulatory &amp; Audit References: NACHA Operating Rules, Regulation E, Regulation CC, OFAC sanctions screening, BSA/AML, FinCEN recordkeeping, UCC Article 4A, state money transmitter requirements, and internal payment authorization policies. Audit evidence must be retained for at least seven years or longer if required by jurisdiction. System Integration, Data Flow &amp; API/Webhook Touchpoints: OmniFlow exposes POST /v1/ach/originations, GET /v1/ach/batches/{id}, and webhooks ach.file.accepted, ach.file.rejected, ach.return.received, and ach.noc.received. AegisPay Core exposes /validate/account and /validate/routing. NexusRoute exposes /route/ach and /transform/nacha. SentinelTrace exposes /screen/fraud. MeridianClear exposes /settle/ach. CobaltSettlement exposes /recon/ach. IronClad exposes /audit/events. All API calls require mTLS, OAuth 2.0 scopes, request signing, and idempotency keys. SLA, Cut-off Times &amp; Settlement Windows: Same-day ACH submissions must be released before 10:30 ET and 14:45 ET local Federal Reserve windows. Standard ACH files must be released before 16:45 ET for next-day settlement unless the ODFI defines an earlier deadline. Return processing must complete within two banking days for consumer entries and within the NACHA-defined timeframe for corporate entries. Reconciliation must complete by 09:00 ET on the next banking day. Incident response acknowledgement is 15 minutes, with status updates every 30 minutes. Risk Controls, Exception Handling &amp; Reconciliation: Controls include dual release, originator exposure limits, velocity limits, duplicate detection, prenotification, micro-deposit validation, negative-file screening, and returned-item monitoring. Exceptions include invalid routing number, closed account, unauthorized return, insufficient funds, duplicate entry, and OFAC match. CobaltSettlement performs file-to-settlement, settlement-to-GL, and return-to-original-entry matching. Unmatched items enter an exception queue with ageing thresholds. Repeated return rates above network thresholds</w:t>
        <w:br/>
        <w:t>Content: PAY-OPS-001.docx</w:t>
        <w:br/>
        <w:t>------------------------------</w:t>
      </w:r>
    </w:p>
    <w:p>
      <w:r>
        <w:t>File: and recurring schedule changes; reconcile return file totals. Bank Account Number Handling: Account and routing numbers are tokenized, encrypted, and masked. NOCs update tokenized vault references only; clear-text account numbers are never exposed in reports or webhooks. Special Currency Handling: ACH is USD-only. Foreign-currency equivalent transactions must route through cross-border or FX procedures. Decimal precision is two places for USD. Escalation Framework: Tier 1 ACH Operations handles standard returns; Tier 2 Disputes handles unauthorized returns and Reg E claims; Tier 3 Fraud handles return-pattern anomalies; Compliance handles regulatory reporting; Legal handles litigation holds. RACI Matrix &amp; Responsible Roles: Responsible: ACH Operations, Disputes Team. Accountable: Head of Payment Operations. Consulted: Compliance, Fraud, Product, Client Services. Informed: Finance, Audit. Compliance, Regulatory &amp; Audit References: NACHA Operating Rules, Reg E, UCC Article 4A, OFAC, BSA/AML, internal return and reinitiation policy. System Integration, Data Flow &amp; API/Webhook Touchpoints: POST /v1/ach/returns, POST /v1/ach/reversals, PATCH /v1/recurring/mandates; webhooks ach.returned, ach.reversed, ach.noc.received, recurring.mandate.updated; ACH operator file exchange; IronClad audit log. SLA, Cut-off Times &amp; Settlement Windows: Return processing within one business day of receipt; Same Day ACH windows follow operator cut-offs; reversal release within 2 hours for high-priority cases; recurring mandate updates within 1 business day. Risk Controls, Exception Handling &amp; Reconciliation: Return code validation, duplicate return detection, representment eligibility checks, stop-payment controls, mandate audit trail, daily ACH reconciliation, exception queue aging, fraud pattern monitoring. Version Control, Approval Workflow &amp; Change Management: Version 1.0; owner ACH Operations Manager; approvers Compliance, Product, Engineering; changes require NACHA rule impact review,</w:t>
        <w:br/>
        <w:t>Content: PAY-OPS-023.docx</w:t>
        <w:br/>
        <w:t>------------------------------</w:t>
      </w:r>
    </w:p>
    <w:p>
      <w:r>
        <w:t>File: and IronClad audit logging. Any export containing account data requires encryption and data-loss-prevention review. Special Currency Handling: ACH origination is restricted to USD. Non-USD instructions must be rejected or routed to the cross-border SWIFT or FX corridor. Amounts are processed in minor units, with two decimal places for USD. FX conversion is prohibited within the ACH origination file. Any foreign-currency beneficiary instruction must be stopped and escalated to NexusRoute for corridor reclassification. Escalation Framework: Level 1: Payment Operations Analyst resolves validation, formatting, and acknowledgement exceptions within 15 minutes. Level 2: ACH Operations Lead resolves file rejection, return-code anomalies, and funding mismatches within 30 minutes. Level 3: Head of Payment Operations, Risk, and Compliance resolve regulatory, sanctions, or repeated return issues within 1 hour. Level 4: Chief Operating Officer, Chief Risk Officer, and Chief Technology Officer for systemic outage, regulatory breach, or material settlement failure. Suspected sanctions or AML breaches must be escalated to the Compliance Officer within 24 hours. RACI Matrix &amp; Responsible Roles: Responsible: Payment Operations Analyst, ACH File Operator. Accountable: Head of Payment Operations. Consulted: Compliance, Risk, Treasury, Engineering, Client Services. Informed: Finance, Internal Audit, Relationship Management. Dual control is required for file release, originator limit changes, and return-code overrides. Compliance, Regulatory &amp; Audit References: NACHA Operating Rules, Regulation E, Regulation CC, OFAC sanctions screening, BSA/AML, FinCEN recordkeeping, UCC Article 4A, state money transmitter requirements, and internal payment authorization policies. Audit evidence must be retained for at least seven years or longer if required by jurisdiction. System Integration,</w:t>
        <w:br/>
        <w:t>Content: PAY-OPS-001.docx</w:t>
        <w:br/>
        <w:t>------------------------------</w:t>
      </w:r>
    </w:p>
    <w:p>
      <w:r>
        <w:br/>
        <w:br/>
        <w:t>DISCLAIMER: This is an AI-generated response. The user MUST manually verify this information against the original procedural documents in the source folder before taking operational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