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What is the price of bitcoin?</w:t>
      </w:r>
    </w:p>
    <w:p>
      <w:pPr>
        <w:pStyle w:val="Heading1"/>
      </w:pPr>
      <w:r>
        <w:t>AI Generated Answer:</w:t>
      </w:r>
    </w:p>
    <w:p>
      <w:r>
        <w:t>The notes do not say.</w:t>
      </w:r>
    </w:p>
    <w:p>
      <w:pPr>
        <w:pStyle w:val="Heading1"/>
      </w:pPr>
      <w:r>
        <w:t>Supporting Evidence (Retrieved Chunks):</w:t>
      </w:r>
    </w:p>
    <w:p>
      <w:r>
        <w:t>File: compromised tokens. 8. Reconcile token, wallet, and network settlement daily; resolve exceptions. Bank Account Number Handling: PANs are never stored; tokenized surrogate values are used. Bank account numbers for wallet payouts are tokenized in AegisPay Core and masked. Full account data encrypted and segregated. Token vault access requires dual control and HSM. Special Currency Handling: Multi-currency wallets supported. VaultGuard applies FX conversion with rate lock and spread disclosure. Currency-specific wallet limits, regulatory licensing, and settlement windows enforced. Stablecoin or crypto-adjacent tokens prohibited unless approved by Compliance and covered by separate SOP. Escalation Framework: L1 Wallet Ops for token/authorization errors within 15 min. L2 Card/Network Ops for scheme declines within 30 min. L3 Fraud/Compliance for suspicious token activity within 15 min. L4 Head of Payment Ops/MLRO for token vault breach or network-wide outage immediately. RACI Matrix &amp; Responsible Roles: Responsible: Wallet Operations Analyst, Token Vault Administrator. Accountable: Head of Payment Operations. Consulted: Fraud, Compliance, Product, Card Networks, Treasury. Informed: Client Services, Finance, Internal Audit. Compliance, Regulatory &amp; Audit References: PCI DSS, EMVCo Tokenisation, PSD2 SCA, GDPR/CCPA, local e-money regulations, card network rules, ISO 8583/ISO 20022, SOC 2, ISO 27001. System Integration, Data Flow &amp; API/Webhook Touchpoints: OmniFlow token provisioning API; AegisPay Core wallet ledger API; NexusRoute routing API; SentinelTrace fraud API; VaultGuard token vault API; CobaltSettlement recon API; IronClad audit API. Webhooks for token created, authorized, captured, refunded, chargeback, and settlement. SLA, Cut-off Times &amp; Settlement Windows: Real-time authorization under 2 seconds; token provisioning under 5 seconds; wallet payout cut-offs per</w:t>
        <w:br/>
        <w:t>Content: PAY-OPS-017.docx</w:t>
        <w:br/>
        <w:t>------------------------------</w:t>
      </w:r>
    </w:p>
    <w:p>
      <w:r>
        <w:t>File: Cut-off Times &amp; Settlement Windows: FX quote lock default 60 seconds; cross-border STP target &lt;15 minutes; correspondent release subject to local cut-offs; same-day value only where corridor and currency windows permit. Month-end and quarter-end capital-control reporting has separate deadlines. Risk Controls, Exception Handling &amp; Reconciliation: FX rate slippage controls, quote expiry, sanctions holds, capital-control pre-validation, duplicate payment detection, correspondent confirmation matching, FX position reconciliation, break queue in CobaltSettlement. Version Control, Approval Workflow &amp; Change Management: Version 1.0; owner Head of Payment Operations; approvers Compliance, Treasury, Legal; changes require regulatory impact review, UAT, training, and CAB approval.</w:t>
        <w:br/>
        <w:t>Content: PAY-OPS-022.docx</w:t>
        <w:br/>
        <w:t>------------------------------</w:t>
      </w:r>
    </w:p>
    <w:p>
      <w:r>
        <w:t>File: CBPR+, SWIFT CSP, ISO 20022, ISO 3166, ISO 4217, OFAC, BSA/AML, FinCEN, EU AML Directives, local capital controls, GDPR, and correspondent banking agreements. Audit retention must meet SWIFT recordkeeping and jurisdictional requirements. System Integration, Data Flow &amp; API/Webhook Touchpoints: OmniFlow exposes /v1/swift/messages, /v1/swift/mx, and webhooks swift.message.accepted, swift.message.rejected, swift.gpi.status, swift.recall.received, and swift.return.received. AegisPay Core exposes /validate/bic, /validate/iban, and /validate/lei. NexusRoute exposes /map/mt-to-mx and /map/mx-to-mt. SentinelTrace exposes /screen/sanctions. VaultGuard exposes /fx/rates. MeridianClear exposes /settle/swift. CobaltSettlement exposes /recon/swift. IronClad exposes /audit/messages. SLA, Cut-off Times &amp; Settlement Windows: SWIFT message processing must acknowledge within 15 minutes of receipt. Payment release must meet correspondent cut-off times, typically 16:00 local for same-day value and earlier for high-value currencies. gpi status updates must be processed within 5 minutes. Investigation of gpi exceptions must begin within 30 minutes. Nostro/vostro reconciliation must complete by 10:00 local on the next business day. Month-end and quarter-end cut-offs require Treasury approval. Risk Controls, Exception Handling &amp; Reconciliation: Controls include BIC/IBAN validation, UETR duplication checks, sanctions screening, AML monitoring, FX rate validation, charges-code enforcement, and correspondent limits. Exceptions include invalid BIC, invalid IBAN, missing LEI, sanctions hit, NACK, return, recall, gpi stuck payment, and nostro mismatch. CobaltSettlement matches outgoing messages to debits, incoming messages to credits, and gpi confirmations to UETRs. Aged exceptions escalate to correspondent banking and Treasury. Version Control, Approval Workflow &amp; Change Management: Version 1.0. Owner: Head of Payment Operations. Approvers: Chief Compliance Officer, Chief Risk Officer, Chief Technology Officer, Treasury Head. Changes to field mapping, SWIFT release, or screening</w:t>
        <w:br/>
        <w:t>Content: PAY-OPS-002.docx</w:t>
        <w:br/>
        <w:t>------------------------------</w:t>
      </w:r>
    </w:p>
    <w:p>
      <w:r>
        <w:t>File: Article 4A, OFAC, BSA/AML, Reg J where applicable, ISO 20022, SWIFT CBPR+, internal wire policy, SOX controls. System Integration, Data Flow &amp; API/Webhook Touchpoints: POST /v1/wires, POST /v1/wires/{id}/release, GET /v1/wires/{id}; webhooks wire.accepted, wire.released, wire.settled, wire.returned, wire.rejected; FedLine/CHIPS adapter; SWIFT Alliance; IronClad audit event stream. SLA, Cut-off Times &amp; Settlement Windows: Fedwire 9:00–18:00 ET; CHIPS 9:00–17:00 ET; internal release cut-off 16:30 ET for same-day settlement. STP target &lt;5 minutes; manual review target &lt;30 minutes. Final settlement same business day subject to network windows. Risk Controls, Exception Handling &amp; Reconciliation: Dual authorization, amount thresholds, velocity limits, duplicate detection, sanctions hold, liquidity hold, idempotent release, NAK/return handling, Fed/CHIPS statement reconciliation, IMAD/OMAD trace, aged exception queue. Version Control, Approval Workflow &amp; Change Management: Version 1.0; owner Head of Payment Operations; approvers Treasury, Compliance, Engineering; changes via Change Advisory Board, impact assessment, UAT, rollback plan, and IronClad version archive.</w:t>
        <w:br/>
        <w:t>Content: PAY-OPS-021.docx</w:t>
        <w:br/>
        <w:t>------------------------------</w:t>
      </w:r>
    </w:p>
    <w:p>
      <w:r>
        <w:t>File: device intelligence, and duplicate detection. 4. NexusRoute selects RTP or FedNow based on participant reachability, amount limits, and network availability. 5. MeridianClear requests VaultGuard liquidity confirmation. 6. Submit credit transfer to the network and await immediate acknowledgement. 7. Process network status, beneficiary confirmation, request-for-payment responses, and webhooks. 8. Because instant payments are irrevocable, exceptions are handled through request-for-return, dispute, or fraud investigation processes rather than recall. 9. CobaltSettlement reconciles network notifications to internal ledger entries in near real time. 10. IronClad records network message IDs, UETRs where applicable, screening decisions, and latency metrics. Bank Account Number Handling: Instant payment messages must use tokenized account references or alias tokens wherever network rules permit. Full account numbers must be encrypted in transit and at rest and must not be exposed in webhooks or dashboards. Alias directory data must be stored with legal consent and privacy controls. Manual support access requires masked view and break-glass approval. No account number may be written to application logs or APM traces. Special Currency Handling: RTP and FedNow processing is restricted to USD. Non-USD instant payment requests must be rejected and routed to the appropriate cross-border or FX corridor. Amounts must be processed in cents with two-decimal precision. FX conversion within instant payments is prohibited. Any multi-currency instant payout use case requires separate Treasury and Compliance approval. Escalation Framework: Level 1: Real-Time Operations Analyst resolves latency, rejection, and webhook failures within 5 minutes. Level 2: Instant Payments Lead resolves network connectivity, participant reachability, and alias exceptions within</w:t>
        <w:br/>
        <w:t>Content: PAY-OPS-003.docx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