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PAY-OPS-003: Real-Time Payments (RTP) &amp; Instant Transfer Handling</w:t>
        <w:br/>
        <w:t>Purpose &amp; Scope: This procedure governs real-time and instant payment processing, including credit transfers, request-for-payment, alias resolution, immediate finality, status notifications, exception handling, and 24/7/365 operational monitoring. It applies to consumer and business instant payments where irrevocability and immediate funds availability are required.</w:t>
        <w:br/>
        <w:t>Applicable Payment Corridors &amp; Networks: The Clearing House RTP network, FedNow Service, and approved instant payment overlays. The procedure supports alias-based payments, account-based transfers, request-for-payment, and instant payout use cases.</w:t>
        <w:br/>
        <w:t>Invented Processing Systems &amp; Architecture: OmniFlow provides API ingestion, webhook delivery, and client-facing status. AegisPay Core validates account status, alias mapping, and participant eligibility. NexusRoute routes to RTP or FedNow and applies message transformation. SentinelTrace performs real-time fraud, sanctions, and anomaly detection. MeridianClear handles immediate settlement sequencing. VaultGuard ensures intraday liquidity. CobaltSettlement reconciles instant payment activity. IronClad archives immutable transaction and decision logs.</w:t>
        <w:br/>
        <w:t>Detailed Key Steps: 1. Receive instant payment instruction through OmniFlow with idempotency key, debtor account token, creditor alias or account token, amount, and purpose code. 2. AegisPay Core validates participant status, account restrictions, alias directory mapping, and available balance or credit line. 3. SentinelTrace performs real-time sanctions screening, fraud scoring, velocity checks, device intelligence, and duplicate detection. 4. NexusRoute selects RTP or FedNow based on participant reachability, amount limits, and network availability. 5. MeridianClear requests VaultGuard liquidity confirmation. 6. Submit credit transfer to the network and await immediate acknowledgement. 7. Process network status, beneficiary confirmation, request-for-payment responses, and webhooks. 8. Because instant payments are irrevocable, exceptions are handled through request-for-return, dispute, or fraud investigation processes rather than recall. 9. CobaltSettlement reconciles network notifications to internal ledger entries in near real time. 10. IronClad records network message IDs, UETRs where applicable, screening decisions, and latency metrics.</w:t>
        <w:br/>
        <w:t>Bank Account Number Handling: Instant payment messages must use tokenized account references or alias tokens wherever network rules permit. Full account numbers must be encrypted in transit and at rest and must not be exposed in webhooks or dashboards. Alias directory data must be stored with legal consent and privacy controls. Manual support access requires masked view and break-glass approval. No account number may be written to application logs or APM traces.</w:t>
        <w:br/>
        <w:t>Special Currency Handling: RTP and FedNow processing is restricted to USD. Non-USD instant payment requests must be rejected and routed to the appropriate cross-border or FX corridor. Amounts must be processed in cents with two-decimal precision. FX conversion within instant payments is prohibited. Any multi-currency instant payout use case requires separate Treasury and Compliance approval.</w:t>
        <w:br/>
        <w:t>Escalation Framework: Level 1: Real-Time Operations Analyst resolves latency, rejection, and webhook failures within 5 minutes. Level 2: Instant Payments Lead resolves network connectivity, participant reachability, and alias exceptions within 10 minutes. Level 3: Head of Payment Operations, Risk, and Treasury resolve liquidity, fraud, or systemic network issues within 15 minutes. Level 4: CTO, CRO, and COO for network-wide outage, cyber incident, or material fraud loss. Suspected fraud must trigger SentinelTrace case creation immediately.</w:t>
        <w:br/>
        <w:t>RACI Matrix &amp; Responsible Roles: Responsible: Real-Time Operations Analyst, Instant Payments Engineer. Accountable: Head of Payment Operations. Consulted: Fraud, Compliance, Treasury, Engineering, Client Services. Informed: Finance, Internal Audit, Executive Incident Management. High-value instant payments require dual approval and enhanced fraud review.</w:t>
        <w:br/>
        <w:t>Compliance, Regulatory &amp; Audit References: The Clearing House RTP Operating Rules, FedNow Operating Rules, Regulation J where applicable, UCC Article 4A, OFAC, BSA/AML, FinCEN, state money transmitter laws, privacy regulations, and network participation agreements. Audit logs must support network dispute and regulatory inquiry.</w:t>
        <w:br/>
        <w:t>System Integration, Data Flow &amp; API/Webhook Touchpoints: OmniFlow exposes POST /v1/rtp/transfers, POST /v1/rtp/requests, GET /v1/rtp/status/{id}, and webhooks rtp.transfer.settled, rtp.transfer.rejected, rtp.request.received, and rtp.return.requested. AegisPay Core exposes /validate/alias and /validate/account. NexusRoute exposes /route/instant. SentinelTrace exposes /screen/instant. VaultGuard exposes /liquidity/instant. CobaltSettlement exposes /recon/instant. IronClad exposes /audit/instant.</w:t>
        <w:br/>
        <w:t>SLA, Cut-off Times &amp; Settlement Windows: RTP and FedNow operate 24/7/365 with no traditional cut-off. Internal processing SLA is under 20 seconds end-to-end, with network submission within 5 seconds of validation. Webhook delivery must be attempted within 2 seconds and retried with exponential backoff. Fraud review for high-risk payments must complete within 10 seconds or the payment must be declined. Reconciliation must complete within 60 seconds of network settlement.</w:t>
        <w:br/>
        <w:t>Risk Controls, Exception Handling &amp; Reconciliation: Controls include real-time fraud scoring, sanctions screening, velocity limits, duplicate idempotency enforcement, participant reachability checks, liquidity thresholds, and amount caps. Exceptions include network timeout, participant unavailable, alias not found, insufficient liquidity, suspected fraud, and duplicate request. Since instant payments are final, recovery depends on beneficiary cooperation, network request-for-return, or legal process. CobaltSettlement performs continuous matching between network acknowledgements and ledger postings. Unmatched items enter a real-time exception queue with 15-minute ageing alerts.</w:t>
        <w:br/>
        <w:t>Version Control, Approval Workflow &amp; Change Management: Version 1.0. Owner: Head of Payment Operations. Approvers: Chief Risk Officer, Chief Compliance Officer, Chief Technology Officer, Treasury Head. Changes to routing logic, fraud thresholds, liquidity limits, or network connectivity require risk assessment, test certification, CAB approval, and controlled deployment. Emergency changes require post-event review within one business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