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PAY-OPS-004: Batch Processing &amp; End-of-Day Settlement</w:t>
        <w:br/>
        <w:t>Purpose &amp; Scope: This procedure governs scheduled batch processing, file aggregation, validation, netting, settlement preparation, funds movement, general ledger posting, and end-of-day reconciliation across payment corridors. It applies to ACH batches, wire batches, card settlement batches, instant payment settlement totals, and cross-border payment files.</w:t>
        <w:br/>
        <w:t>Applicable Payment Corridors &amp; Networks: FedACH, EPN, Fedwire, CHIPS, SWIFT, RTP/FedNow settlement totals, card networks, and internal book transfers. The procedure supports same-day and next-day settlement cycles.</w:t>
        <w:br/>
        <w:t>Invented Processing Systems &amp; Architecture: OmniFlow receives batch files and API submissions. AegisPay Core validates master data and account eligibility. NexusRoute routes and transforms batch records by network. SentinelTrace screens fraud, sanctions, and anomaly conditions. MeridianClear performs netting, sequencing, and settlement instruction generation. VaultGuard manages funding pools and liquidity. CobaltSettlement reconciles settlement outputs to source batches and GL. IronClad archives batch manifests, settlement proofs, and approvals.</w:t>
        <w:br/>
        <w:t>Detailed Key Steps: 1. Ingest batch files through OmniFlow SFTP, API, or message queue before the corridor cut-off. 2. Validate file header, control totals, record counts, hash, schema, and duplicate batch ID. 3. AegisPay Core validates account status, currency, routing data, and client limits. 4. SentinelTrace screens all batch records for sanctions, fraud, and unusual activity. 5. NexusRoute transforms records into network-specific formats and assigns settlement priority. 6. MeridianClear calculates gross debits, gross credits, net settlement positions, and counterparty obligations. 7. VaultGuard confirms available liquidity or credit lines for each currency and settlement account. 8. Release settlement instructions under dual control to Fedwire, CHIPS, SWIFT, or internal book transfer. 9. Process acknowledgements, confirmations, returns, and rejected records. 10. CobaltSettlement reconciles source batches, network acknowledgements, settlement debits/credits, and general ledger entries. 11. IronClad archives batch hash, approval, settlement proof, and exception disposition.</w:t>
        <w:br/>
        <w:t>Bank Account Number Handling: Batch files containing account numbers must be encrypted in transit and at rest. Account numbers must be tokenized in staging and masked in operational dashboards. Settlement files may contain full account data only when required by the network and must be stored in a restricted settlement vault. Access requires dual control, least privilege, and IronClad logging. Batch logs must not contain full account numbers.</w:t>
        <w:br/>
        <w:t>Special Currency Handling: Batch processing supports multi-currency settlement. Each currency must be settled in its own currency ledger or through approved FX conversion. VaultGuard must provide FX rates and revaluation for end-of-day positions. Currency cut-offs vary by clearing system and must be enforced. Rounding differences must be posted to a designated FX gain/loss account. Restricted currencies require Compliance and Treasury approval.</w:t>
        <w:br/>
        <w:t>Escalation Framework: Level 1: Batch Operations Analyst resolves file rejection, control total mismatch, and formatting errors within 15 minutes. Level 2: Settlement Operations Lead resolves netting, liquidity, and cut-off exceptions within 30 minutes. Level 3: Head of Payment Operations, Treasury, and Risk resolve funding shortfalls, settlement delays, and counterparty issues within 1 hour. Level 4: COO, CRO, and CTO for missed settlement, systemic batch failure, or regulatory breach. Missed central bank settlement windows require immediate executive notification.</w:t>
        <w:br/>
        <w:t>RACI Matrix &amp; Responsible Roles: Responsible: Batch Operations Analyst, Settlement Analyst. Accountable: Head of Payment Operations. Consulted: Treasury, Risk, Compliance, Engineering, Finance. Informed: Client Services, Internal Audit, Executive Management. Settlement release requires maker-checker approval.</w:t>
        <w:br/>
        <w:t>Compliance, Regulatory &amp; Audit References: NACHA Operating Rules, Fedwire/CHIPS rules, SWIFT CBPR+, ISO 20022, Regulation E, Regulation CC, BSA/AML, OFAC, SOX, GAAP/IFRS, and central bank settlement regulations. Audit evidence must be retained for statutory periods.</w:t>
        <w:br/>
        <w:t>System Integration, Data Flow &amp; API/Webhook Touchpoints: OmniFlow exposes /v1/batch/submit, /v1/batch/status, and webhooks batch.accepted, batch.rejected, batch.settled, and batch.exception. AegisPay Core exposes /validate/batch. NexusRoute exposes /transform/batch. SentinelTrace exposes /screen/batch. MeridianClear exposes /settle/net and /settle/instructions. VaultGuard exposes /liquidity/positions. CobaltSettlement exposes /recon/batch. IronClad exposes /audit/batch.</w:t>
        <w:br/>
        <w:t>SLA, Cut-off Times &amp; Settlement Windows: Batch ingestion must complete 60 minutes before corridor cut-off. Validation must complete within 15 minutes of receipt. Settlement instructions must be released 30 minutes before the central bank or network deadline. Same-day ACH cut-offs apply at 10:30 ET and 14:45 ET. Fedwire and CHIPS cut-offs follow Federal Reserve and CHIPS schedules. End-of-day reconciliation must complete by 10:00 local on the next business day.</w:t>
        <w:br/>
        <w:t>Risk Controls, Exception Handling &amp; Reconciliation: Controls include file hash verification, control totals, duplicate batch detection, exposure limits, liquidity thresholds, dual release, sanctions screening, and reconciliation sign-off. Exceptions include unbalanced batch, invalid account, funding shortfall, network rejection, partial settlement, and missing confirmation. CobaltSettlement performs three-way reconciliation among source batch, network settlement, and general ledger. Aging exceptions escalate daily to Treasury, Risk, and Payment Operations leadership.</w:t>
        <w:br/>
        <w:t>Version Control, Approval Workflow &amp; Change Management: Version 1.0. Owner: Head of Payment Operations. Approvers: Chief Risk Officer, Chief Compliance Officer, Chief Technology Officer, Treasury Head. Changes to netting logic, settlement sequencing, cut-off rules, or funding controls require risk assessment, test evidence, CAB approval, and post-implementation monitoring. Emergency changes require retrospective review within two business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