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Procedure ID &amp; Title: PAY-OPS-006: FX Settlement, Conversion &amp; Liquidity Allocation</w:t>
        <w:br/>
        <w:t>Purpose &amp; Scope: Governs foreign exchange quote generation, rate locking, conversion, liquidity allocation, trade confirmation, and settlement across OmniFlow, VaultGuard, NexusRoute, MeridianClear, CobaltSettlement, and IronClad. Applies to spot, forward, swap, and non-deliverable FX used for payment funding, payout, and cross-currency settlement.</w:t>
        <w:br/>
        <w:t>Applicable Payment Corridors &amp; Networks: SWIFT MT300/MT320, ISO 20022 fxtr.014, pacs.008, pacs.009, camt.053, CLS, local RTGS, RTP, ACH, Fedwire, CHIPS, and correspondent banking rails.</w:t>
        <w:br/>
        <w:t>Invented Processing Systems &amp; Architecture: VaultGuard sources rates and manages funding pools; NexusRoute performs field mapping and operator selection; MeridianClear sequences settlement and netting; CobaltSettlement matches confirmations and exceptions; IronClad archives immutable FX audit trails.</w:t>
        <w:br/>
        <w:t>Detailed Key Steps:</w:t>
        <w:br/>
        <w:t>1. Ingest FX request via OmniFlow and validate counterparty, account, and corridor in AegisPay Core.</w:t>
        <w:br/>
        <w:t>2. VaultGuard obtains multi-source rates, applies spread, and locks quote with idempotency key.</w:t>
        <w:br/>
        <w:t>3. NexusRoute maps to fxtr.014 or pacs.008, validates BIC/IBAN, and selects settlement rail.</w:t>
        <w:br/>
        <w:t>4. MeridianClear allocates liquidity to the correct currency pool and checks intraday limits.</w:t>
        <w:br/>
        <w:t>5. Execute settlement via CLS, correspondent, or local RTGS; generate MT300/MT320 or ISO 20022 confirmation.</w:t>
        <w:br/>
        <w:t>6. CobaltSettlement reconciles confirmations, camt.053 statements, and nostro/vostro positions.</w:t>
        <w:br/>
        <w:t>7. IronClad writes forensic log and retains rate source, quote ID, and settlement evidence.</w:t>
        <w:br/>
        <w:t>Bank Account Number Handling: Full account numbers are tokenized in AegisPay Core, masked in UI and logs, encrypted at rest in IronClad, and validated using mod-10 checksum and IBAN/BIC normalization. No full bank account number is written to application logs or webhook payloads.</w:t>
        <w:br/>
        <w:t>Special Currency Handling: Supports CLS-eligible currencies, non-CLS restricted currencies, pegged currencies, zero-decimal currencies such as JPY and KRW, three-decimal currencies such as BHD and KWD, and NDF currencies. Restricted currencies require local regulatory approval and may settle T+1 or T+2.</w:t>
        <w:br/>
        <w:t>Escalation Framework: Tier 1 FX Operations resolves quote and mapping issues; Tier 2 Treasury and Risk resolves liquidity and rate deviation; Tier 3 Head of Payment Operations and Compliance resolves settlement failure or regulatory breach; Tier 4 CRO/COO for systemic or material loss events.</w:t>
        <w:br/>
        <w:t>RACI Matrix &amp; Responsible Roles: Responsible: FX Operations Analyst, Settlement Analyst. Accountable: Head of Payment Operations. Consulted: Treasury, Risk, Compliance, Correspondent Banking. Informed: Audit, Finance, Client Services.</w:t>
        <w:br/>
        <w:t>Compliance, Regulatory &amp; Audit References: FX Global Code, EMIR, Dodd-Frank, MiFID II, local FX controls, SWIFT CSP, ISO 20022, BSA/AML, OFAC, and internal FX risk policy.</w:t>
        <w:br/>
        <w:t>System Integration, Data Flow &amp; API/Webhook Touchpoints: APIs: /v1/fx/quote, /v1/fx/execute, /v1/fx/confirm, /v1/liquidity/allocate. Webhooks: fx.quote.locked, fx.settlement.completed, fx.exception.created. Data flows through OmniFlow to VaultGuard, NexusRoute, MeridianClear, CobaltSettlement, and IronClad.</w:t>
        <w:br/>
        <w:t>SLA, Cut-off Times &amp; Settlement Windows: Quote lock within 30 seconds; standard FX cut-off 15:00 UTC; CLS settlement window 07:00 CET; local RTGS cut-offs per currency; T+2 standard, T+1 for eligible corridors. Exceptions must be triaged within 15 minutes.</w:t>
        <w:br/>
        <w:t>Risk Controls, Exception Handling &amp; Reconciliation: Controls include pre-settlement risk limits, Herstatt risk monitoring, rate deviation thresholds, dual approval for high-value FX, and automated reconciliation. Exceptions route to CobaltSettlement queue with aging, root-cause, and recovery tracking.</w:t>
        <w:br/>
        <w:t>Version Control, Approval Workflow &amp; Change Management: Version 1.0. Changes require FX Operations, Treasury, Risk, and Compliance approval. Emergency changes require Head of Payment Operations approval and post-change audit within 24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