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Procedure ID &amp; Title: PAY-OPS-007: Payment Dispute, Return &amp; Chargeback Workflows</w:t>
        <w:br/>
        <w:t>Purpose &amp; Scope: Defines intake, investigation, provisional credit, representment, arbitration, recovery, and closure for payment disputes, returns, recalls, reversals, and chargebacks across all payment rails.</w:t>
        <w:br/>
        <w:t>Applicable Payment Corridors &amp; Networks: ACH, RTP, Fedwire, CHIPS, SWIFT MT/MX, card networks, digital wallets, and local instant payment schemes.</w:t>
        <w:br/>
        <w:t>Invented Processing Systems &amp; Architecture: OmniFlow captures dispute intake and webhooks; SentinelTrace provides fraud evidence and anomaly context; CobaltSettlement manages exception queues; MeridianClear executes reversals and returns; IronClad preserves immutable case evidence.</w:t>
        <w:br/>
        <w:t>Detailed Key Steps:</w:t>
        <w:br/>
        <w:t>1. Receive dispute or return via OmniFlow, API, or network file; create case ID in CobaltSettlement.</w:t>
        <w:br/>
        <w:t>2. Validate reason code, network rules, and time limits in AegisPay Core.</w:t>
        <w:br/>
        <w:t>3. Apply provisional credit if required by regulation or scheme rule.</w:t>
        <w:br/>
        <w:t>4. Gather evidence from SentinelTrace, NexusRoute, and settlement records.</w:t>
        <w:br/>
        <w:t>5. Submit representment, recall, or chargeback response through the correct network.</w:t>
        <w:br/>
        <w:t>6. Track arbitration, pre-arbitration, and recovery; update ledger in MeridianClear.</w:t>
        <w:br/>
        <w:t>7. Close case with outcome code and archive in IronClad.</w:t>
        <w:br/>
        <w:t>Bank Account Number Handling: Account numbers are tokenized, masked in case notes, and encrypted in IronClad. Full account numbers are never included in dispute narratives, webhooks, or email. IBAN/BIC validation and mod-10 checksum are enforced.</w:t>
        <w:br/>
        <w:t>Special Currency Handling: Cross-currency disputes require FX revaluation at original trade rate or network-defined rate. Restricted currencies may require local legal review. Zero-decimal and three-decimal currencies must be rounded per scheme rules.</w:t>
        <w:br/>
        <w:t>Escalation Framework: Tier 1 Disputes Analyst handles standard cases; Tier 2 Payment Operations Lead handles scheme deadline risk; Tier 3 Head of Payment Operations and Compliance handles regulatory or high-value cases; Tier 4 Legal and CRO for litigation or systemic issues.</w:t>
        <w:br/>
        <w:t>RACI Matrix &amp; Responsible Roles: Responsible: Disputes Analyst, Chargeback Specialist. Accountable: Head of Payment Operations. Consulted: Legal, Compliance, Fraud, Treasury. Informed: Client Services, Finance, Audit.</w:t>
        <w:br/>
        <w:t>Compliance, Regulatory &amp; Audit References: Regulation E, Regulation Z, NACHA rules, card network chargeback rules, PSD2, SWIFT recall rules, BSA/AML, OFAC, and local consumer protection laws.</w:t>
        <w:br/>
        <w:t>System Integration, Data Flow &amp; API/Webhook Touchpoints: APIs: /v1/disputes, /v1/returns, /v1/chargebacks, /v1/reversals. Webhooks: dispute.created, dispute.updated, return.received, chargeback.submitted. Data flows to CobaltSettlement, MeridianClear, SentinelTrace, and IronClad.</w:t>
        <w:br/>
        <w:t>SLA, Cut-off Times &amp; Settlement Windows: Regulation E provisional credit within 10 business days; NACHA return within 2 banking days; card chargeback within 30 days; RTP recall within 24 hours; SWIFT recall same day. Case aging reviewed daily.</w:t>
        <w:br/>
        <w:t>Risk Controls, Exception Handling &amp; Reconciliation: Controls include dual approval for write-offs, reason-code validation, deadline monitoring, and reconciliation of provisional credits. Exceptions include friendly fraud, late returns, and network arbitration; all are logged and reconciled.</w:t>
        <w:br/>
        <w:t>Version Control, Approval Workflow &amp; Change Management: Version 1.0. Changes require Disputes, Compliance, Legal, and Payment Operations approval. Emergency changes require Head of Payment Operations approval and retrospective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