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Procedure ID &amp; Title: PAY-OPS-008: Fraud Detection, Transaction Monitoring &amp; Exception Handling</w:t>
        <w:br/>
        <w:t>Purpose &amp; Scope: Establishes real-time fraud scoring, AML transaction monitoring, sanctions interdiction, anomaly detection, case management, and exception handling for all payment flows.</w:t>
        <w:br/>
        <w:t>Applicable Payment Corridors &amp; Networks: ACH, RTP, Fedwire, CHIPS, SWIFT, card networks, digital wallets, and cross-border correspondent rails.</w:t>
        <w:br/>
        <w:t>Invented Processing Systems &amp; Architecture: SentinelTrace performs rules and ML scoring; AegisPay Core validates account and counterparty data; NexusRoute applies holds and routing decisions; IronClad stores forensic evidence and audit logs.</w:t>
        <w:br/>
        <w:t>Detailed Key Steps:</w:t>
        <w:br/>
        <w:t>1. Ingest transaction via OmniFlow and enrich with AegisPay Core master data.</w:t>
        <w:br/>
        <w:t>2. SentinelTrace scores transaction in real time using velocity, geo, device, and behavioral rules.</w:t>
        <w:br/>
        <w:t>3. Apply sanctions and AML screening; if hit, place hold and create case.</w:t>
        <w:br/>
        <w:t>4. Route clear transactions through NexusRoute; hold suspicious transactions for review.</w:t>
        <w:br/>
        <w:t>5. Investigate alerts, document disposition, and release or block.</w:t>
        <w:br/>
        <w:t>6. File SAR/STR where required and update case in IronClad.</w:t>
        <w:br/>
        <w:t>7. Reconcile held, released, and blocked transactions daily.</w:t>
        <w:br/>
        <w:t>Bank Account Number Handling: Account numbers are hashed or tokenized for analytics, masked in alerts, and encrypted in IronClad. Full account numbers are restricted to authorized fraud investigators and never exposed in webhooks or dashboards.</w:t>
        <w:br/>
        <w:t>Special Currency Handling: High-risk jurisdictions and restricted currencies trigger enhanced due diligence. Zero-decimal and three-decimal currencies are normalized for scoring. Crypto-linked or NDF corridors require additional compliance review.</w:t>
        <w:br/>
        <w:t>Escalation Framework: Tier 1 Fraud Analyst handles standard alerts; Tier 2 Fraud Lead and AML Officer handle high-risk cases; Tier 3 Head of Payment Operations and Compliance handle sanctions or regulatory breaches; Tier 4 CRO/CISO for cyber or systemic fraud.</w:t>
        <w:br/>
        <w:t>RACI Matrix &amp; Responsible Roles: Responsible: Fraud Analyst, AML Analyst. Accountable: Head of Payment Operations. Consulted: Compliance, Risk, Legal, Cyber Security. Informed: Audit, Client Services, Finance.</w:t>
        <w:br/>
        <w:t>Compliance, Regulatory &amp; Audit References: BSA/AML, OFAC, FATF recommendations, PSD2 SCA, GDPR, local privacy laws, SWIFT CSP, and internal fraud risk policy.</w:t>
        <w:br/>
        <w:t>System Integration, Data Flow &amp; API/Webhook Touchpoints: APIs: /v1/screen, /v1/score, /v1/cases, /v1/holds. Webhooks: fraud.alert, aml.hit, sanctions.match, case.updated. Data flows through SentinelTrace, AegisPay Core, NexusRoute, and IronClad.</w:t>
        <w:br/>
        <w:t>SLA, Cut-off Times &amp; Settlement Windows: Real-time scoring under 200 ms; critical fraud alert triage within 15 minutes; sanctions hit within 30 minutes; SAR filing within regulatory deadline. Holds must be resolved before payment cut-off.</w:t>
        <w:br/>
        <w:t>Risk Controls, Exception Handling &amp; Reconciliation: Controls include model governance, false-positive tuning, dual approval for release, and daily reconciliation of held funds. Exceptions include model drift, missed alerts, and sanctions false positives; all require root-cause analysis.</w:t>
        <w:br/>
        <w:t>Version Control, Approval Workflow &amp; Change Management: Version 1.0. Changes require Fraud, AML, Compliance, and Payment Operations approval. Model changes require validation and post-deployment monitoring.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