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PAY-OPS-009: Intraday Liquidity Management &amp; Funding Optimization</w:t>
        <w:br/>
        <w:t>Purpose &amp; Scope: Manages intraday liquidity positions, funding pools, sweeps, netting, and optimization across currencies and settlement accounts to meet payment obligations and regulatory buffers.</w:t>
        <w:br/>
        <w:t>Applicable Payment Corridors &amp; Networks: RTGS, RTP, ACH, Fedwire, CHIPS, SWIFT, CLS, and correspondent banking rails.</w:t>
        <w:br/>
        <w:t>Invented Processing Systems &amp; Architecture: VaultGuard monitors liquidity and funding pools; MeridianClear sequences and nets settlements; CobaltSettlement reconciles positions; IronClad archives liquidity decisions and audit evidence.</w:t>
        <w:br/>
        <w:t>Detailed Key Steps:</w:t>
        <w:br/>
        <w:t>1. Forecast intraday funding needs from payment queues and settlement calendars.</w:t>
        <w:br/>
        <w:t>2. Monitor real-time balances, limits, and pending obligations in VaultGuard.</w:t>
        <w:br/>
        <w:t>3. Execute sweeps, FX swaps, or funding transfers to cover shortfalls.</w:t>
        <w:br/>
        <w:t>4. Net eligible payments in MeridianClear to reduce gross funding needs.</w:t>
        <w:br/>
        <w:t>5. Reconcile actual versus forecast positions in CobaltSettlement.</w:t>
        <w:br/>
        <w:t>6. Report liquidity metrics to Treasury and Risk.</w:t>
        <w:br/>
        <w:t>7. Archive decisions and exceptions in IronClad.</w:t>
        <w:br/>
        <w:t>Bank Account Number Handling: Virtual account numbers and funding account numbers are tokenized, masked in dashboards, and encrypted in IronClad. Mod-10 checksum and IBAN/BIC validation are enforced for all funding instructions.</w:t>
        <w:br/>
        <w:t>Special Currency Handling: Multi-currency pools require separate liquidity buffers. Restricted currencies may require local funding. Zero-decimal and three-decimal currencies are handled with precise rounding. FX swaps are used for non-CLS currencies.</w:t>
        <w:br/>
        <w:t>Escalation Framework: Tier 1 Liquidity Analyst handles routine funding; Tier 2 Treasury handles shortfalls; Tier 3 Head of Payment Operations and Treasurer handle buffer breaches; Tier 4 CFO/CRO for central bank or systemic liquidity events.</w:t>
        <w:br/>
        <w:t>RACI Matrix &amp; Responsible Roles: Responsible: Liquidity Analyst, Treasury Analyst. Accountable: Head of Payment Operations. Consulted: Treasury, Risk, Finance, Correspondent Banking. Informed: Audit, Executive Committee.</w:t>
        <w:br/>
        <w:t>Compliance, Regulatory &amp; Audit References: Basel III LCR, intraday liquidity monitoring tools, Reg YY, PSD2, local central bank rules, and internal liquidity risk policy.</w:t>
        <w:br/>
        <w:t>System Integration, Data Flow &amp; API/Webhook Touchpoints: APIs: /v1/liquidity/positions, /v1/liquidity/fund, /v1/liquidity/sweep. Webhooks: liquidity.threshold.breached, funding.completed, position.updated. Data flows through VaultGuard, MeridianClear, CobaltSettlement, and IronClad.</w:t>
        <w:br/>
        <w:t>SLA, Cut-off Times &amp; Settlement Windows: Real-time monitoring; funding decisions within 15 minutes of breach; RTGS cut-offs per currency; CLS funding by 06:30 CET; end-of-day reconciliation by 18:00 UTC.</w:t>
        <w:br/>
        <w:t>Risk Controls, Exception Handling &amp; Reconciliation: Controls include intraday limits, dual approval for large funding, buffer monitoring, and automated reconciliation. Exceptions include failed funding, unexpected netting changes, and central bank delays; all are escalated and logged.</w:t>
        <w:br/>
        <w:t>Version Control, Approval Workflow &amp; Change Management: Version 1.0. Changes require Treasury, Risk, and Payment Operations approval. Emergency changes require Treasurer approval and post-event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