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PAY-OPS-010: Regulatory Reporting (Transaction, Tax, Sanctions Screening)</w:t>
        <w:br/>
        <w:t>Purpose &amp; Scope: Governs transaction reporting, tax reporting, sanctions screening, regulatory submissions, data quality, and audit evidence for all payment activity.</w:t>
        <w:br/>
        <w:t>Applicable Payment Corridors &amp; Networks: ACH, RTP, Fedwire, CHIPS, SWIFT, card networks, digital wallets, and cross-border correspondent rails.</w:t>
        <w:br/>
        <w:t>Invented Processing Systems &amp; Architecture: IronClad acts as compliance gateway and immutable archive; SentinelTrace performs sanctions and AML screening; AegisPay Core provides account and tax data; NexusRoute enriches transaction data for reporting.</w:t>
        <w:br/>
        <w:t>Detailed Key Steps:</w:t>
        <w:br/>
        <w:t>1. Collect transaction, counterparty, tax, and account data from OmniFlow and AegisPay Core.</w:t>
        <w:br/>
        <w:t>2. Screen against sanctions, PEP, and adverse media lists in SentinelTrace.</w:t>
        <w:br/>
        <w:t>3. Generate regulatory reports such as FATCA, CRS, DAC6, transaction reports, and tax withholding files.</w:t>
        <w:br/>
        <w:t>4. Validate report completeness, field mapping, and ISO 20022/XML schema.</w:t>
        <w:br/>
        <w:t>5. Submit reports to regulators, tax authorities, or central banks through secure channels.</w:t>
        <w:br/>
        <w:t>6. Reconcile submitted reports against source transactions in CobaltSettlement.</w:t>
        <w:br/>
        <w:t>7. Archive submissions, acknowledgements, and exceptions in IronClad.</w:t>
        <w:br/>
        <w:t>Bank Account Number Handling: Account numbers and tax IDs are masked in reports where permitted, encrypted in IronClad, and tokenized in AegisPay Core. Full identifiers are restricted to authorized compliance and tax personnel.</w:t>
        <w:br/>
        <w:t>Special Currency Handling: Tax withholding and reporting vary by currency and jurisdiction. Restricted currencies may require local reporting. Zero-decimal and three-decimal currencies are normalized for tax and regulatory thresholds.</w:t>
        <w:br/>
        <w:t>Escalation Framework: Tier 1 Reporting Analyst handles data quality; Tier 2 Compliance Lead handles missed or rejected filings; Tier 3 Head of Payment Operations and Compliance handle regulatory penalties; Tier 4 Legal and CRO for enforcement actions.</w:t>
        <w:br/>
        <w:t>RACI Matrix &amp; Responsible Roles: Responsible: Regulatory Reporting Analyst, Compliance Analyst. Accountable: Head of Payment Operations. Consulted: Tax, Legal, Risk, Treasury. Informed: Audit, Finance, Executive Committee.</w:t>
        <w:br/>
        <w:t>Compliance, Regulatory &amp; Audit References: FATCA, CRS, DAC6, OFAC, BSA/AML, MiFID II, EMIR, local tax laws, SWIFT CSP, ISO 20022, and internal compliance policy.</w:t>
        <w:br/>
        <w:t>System Integration, Data Flow &amp; API/Webhook Touchpoints: APIs: /v1/reports/generate, /v1/reports/submit, /v1/screen/sanctions. Webhooks: report.submitted, report.rejected, sanctions.match, tax.file.created. Data flows through IronClad, SentinelTrace, AegisPay Core, NexusRoute, and CobaltSettlement.</w:t>
        <w:br/>
        <w:t>SLA, Cut-off Times &amp; Settlement Windows: Sanctions screening within 24 hours; transaction reporting within regulatory deadlines; tax reporting by jurisdiction cut-off; rejected reports remediated within 1 business day. Daily reconciliation of submitted versus source records.</w:t>
        <w:br/>
        <w:t>Risk Controls, Exception Handling &amp; Reconciliation: Controls include data lineage, dual review, schema validation, and reconciliation. Exceptions include missed filings, sanctions false positives, and data gaps; all require root-cause analysis and corrective action.</w:t>
        <w:br/>
        <w:t>Version Control, Approval Workflow &amp; Change Management: Version 1.0. Changes require Compliance, Tax, Legal, and Payment Operations approval. Emergency changes require Head of Payment Operations and Compliance approval with retrospective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