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Procedure ID &amp; Title: PAY-OPS-017: Digital Wallet &amp; Tokenized Payment Integration</w:t>
        <w:br/>
        <w:br/>
        <w:t>Purpose &amp; Scope: Defines end-to-end processing for digital wallet funding, tokenized card credentials, wallet payouts, and token lifecycle management across consumer and merchant wallets. Covers provisioning, authorization, capture, refunds, chargebacks, and reconciliation with wallet schemes and issuers.</w:t>
        <w:br/>
        <w:br/>
        <w:t>Applicable Payment Corridors &amp; Networks: Card networks, token service providers, push-to-card, real-time payments, SEPA Instant, ACH, open banking APIs, and proprietary wallet rails. Includes NFC, in-app, e-commerce, QR, and wallet-to-wallet transfers.</w:t>
        <w:br/>
        <w:br/>
        <w:t>Invented Processing Systems &amp; Architecture: OmniFlow exposes wallet and token APIs. AegisPay Core stores wallet account references and token mappings. NexusRoute routes to card networks, RTP, or wallet rails. SentinelTrace monitors token misuse and fraud. MeridianClear handles settlement. CobaltSettlement reconciles wallet ledger. VaultGuard manages token vault and FX. IronClad archives token lifecycle events.</w:t>
        <w:br/>
        <w:br/>
        <w:t>Detailed Key Steps:</w:t>
        <w:br/>
        <w:t>1. Onboard wallet provider/merchant; complete KYC/KYB and PCI validation.</w:t>
        <w:br/>
        <w:t>2. Provision token via token service provider; store surrogate PAN/token in VaultGuard.</w:t>
        <w:br/>
        <w:t>3. Authorize transaction via OmniFlow; AegisPay Core validates token status and wallet balance.</w:t>
        <w:br/>
        <w:t>4. SentinelTrace scores fraud; apply SCA/3DS where required.</w:t>
        <w:br/>
        <w:t>5. NexusRoute selects rail; MeridianClear reserves funds; transmit authorization.</w:t>
        <w:br/>
        <w:t>6. Capture/clearing; process settlement files; update wallet ledger.</w:t>
        <w:br/>
        <w:t>7. Handle refunds, reversals, chargebacks; deactivate compromised tokens.</w:t>
        <w:br/>
        <w:t>8. Reconcile token, wallet, and network settlement daily; resolve exceptions.</w:t>
        <w:br/>
        <w:br/>
        <w:t>Bank Account Number Handling: PANs are never stored; tokenized surrogate values are used. Bank account numbers for wallet payouts are tokenized in AegisPay Core and masked. Full account data encrypted and segregated. Token vault access requires dual control and HSM.</w:t>
        <w:br/>
        <w:br/>
        <w:t>Special Currency Handling: Multi-currency wallets supported. VaultGuard applies FX conversion with rate lock and spread disclosure. Currency-specific wallet limits, regulatory licensing, and settlement windows enforced. Stablecoin or crypto-adjacent tokens prohibited unless approved by Compliance and covered by separate SOP.</w:t>
        <w:br/>
        <w:br/>
        <w:t>Escalation Framework: L1 Wallet Ops for token/authorization errors within 15 min. L2 Card/Network Ops for scheme declines within 30 min. L3 Fraud/Compliance for suspicious token activity within 15 min. L4 Head of Payment Ops/MLRO for token vault breach or network-wide outage immediately.</w:t>
        <w:br/>
        <w:br/>
        <w:t>RACI Matrix &amp; Responsible Roles: Responsible: Wallet Operations Analyst, Token Vault Administrator. Accountable: Head of Payment Operations. Consulted: Fraud, Compliance, Product, Card Networks, Treasury. Informed: Client Services, Finance, Internal Audit.</w:t>
        <w:br/>
        <w:br/>
        <w:t>Compliance, Regulatory &amp; Audit References: PCI DSS, EMVCo Tokenisation, PSD2 SCA, GDPR/CCPA, local e-money regulations, card network rules, ISO 8583/ISO 20022, SOC 2, ISO 27001.</w:t>
        <w:br/>
        <w:br/>
        <w:t>System Integration, Data Flow &amp; API/Webhook Touchpoints: OmniFlow token provisioning API; AegisPay Core wallet ledger API; NexusRoute routing API; SentinelTrace fraud API; VaultGuard token vault API; CobaltSettlement recon API; IronClad audit API. Webhooks for token created, authorized, captured, refunded, chargeback, and settlement.</w:t>
        <w:br/>
        <w:br/>
        <w:t>SLA, Cut-off Times &amp; Settlement Windows: Real-time authorization under 2 seconds; token provisioning under 5 seconds; wallet payout cut-offs per rail; card settlement T+1/T+2; RTP/SEPA Instant 24x7. Chargeback response within network deadlines. Daily reconciliation by 10:00 local.</w:t>
        <w:br/>
        <w:br/>
        <w:t>Risk Controls, Exception Handling &amp; Reconciliation: Tokenization, SCA, velocity limits, device fingerprinting, fraud scoring, token deactivation, chargeback monitoring, dual control for vault, reconciliation of token-to-PAN mapping, break queues, and settlement netting.</w:t>
        <w:br/>
        <w:br/>
        <w:t>Version Control, Approval Workflow &amp; Change Management: Version 1.0. Changes require Payment Ops, Fraud, Compliance, Product, and Security approval. Token vault changes require CISO and Compliance. Emergency changes post-reviewed within 24 hours. Annual review or upon scheme rule changes.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