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Procedure ID &amp; Title: PAY-OPS-020: Advanced Account Validation &amp; IBAN/BIC Normalization Engine</w:t>
        <w:br/>
        <w:br/>
        <w:t>Purpose &amp; Scope: Defines validation, normalization, and enrichment of beneficiary account identifiers, including IBAN, BBAN, BIC, national routing numbers, and local account formats. Ensures high straight-through processing and reduces returns, rejects, and misdirected payments.</w:t>
        <w:br/>
        <w:br/>
        <w:t>Applicable Payment Corridors &amp; Networks: SEPA, SWIFT, TARGET2/T2, Fedwire, CHIPS, ACH, RTP, FedNow, card payouts, open banking, and local RTGS. Supports global IBAN countries, BIC directories, routing numbers, sort codes, CLABE, IFSC, and other national schemes.</w:t>
        <w:br/>
        <w:br/>
        <w:t>Invented Processing Systems &amp; Architecture: OmniFlow captures account data via API/file. AegisPay Core validation engine normalizes and validates. NexusRoute consumes validated data for routing. SentinelTrace screens for fraud. VaultGuard secures sensitive data. IronClad logs validation results. CobaltSettlement feeds return data back to improve rules.</w:t>
        <w:br/>
        <w:br/>
        <w:t>Detailed Key Steps:</w:t>
        <w:br/>
        <w:t>1. Receive account data via OmniFlow; apply schema validation and encoding normalization.</w:t>
        <w:br/>
        <w:t>2. AegisPay Core parses IBAN/BBAN; validate country code, length, and mod-97 checksum.</w:t>
        <w:br/>
        <w:t>3. Normalize BIC to ISO 9362; validate against BIC directory and LEI where available.</w:t>
        <w:br/>
        <w:t>4. Validate national routing numbers using mod-10/mod-11 checksum and local rules.</w:t>
        <w:br/>
        <w:t>5. Perform account name/beneficiary matching where supported; return match score.</w:t>
        <w:br/>
        <w:t>6. Enrich with bank name, branch, country, and clearing code.</w:t>
        <w:br/>
        <w:t>7. Return validation result codes: VALID, CORRECTED, INVALID, UNKNOWN, REQUIRES_MANUAL.</w:t>
        <w:br/>
        <w:t>8. Cache validated hashes with TTL; feed exceptions to CobaltSettlement and rule tuning.</w:t>
        <w:br/>
        <w:br/>
        <w:t>Bank Account Number Handling: Full IBAN/account numbers encrypted at rest and in transit. Tokenization in AegisPay Core; only masked values and tokens in UI/logs. Validation service uses memory-safe processing and does not persist raw values beyond transaction scope. Access requires least privilege and dual control.</w:t>
        <w:br/>
        <w:br/>
        <w:t>Special Currency Handling: Currency does not alter IBAN structure, but account validation rules vary by country and currency. For currencies with local clearing requirements, validate local account format and routing. FX payments require additional beneficiary bank and purpose code validation. Restricted currencies may require manual review.</w:t>
        <w:br/>
        <w:br/>
        <w:t>Escalation Framework: L1 Validation Ops for format/checksum errors within 15 min. L2 Payment Ops for repeated national scheme rejects within 30 min. L3 Compliance for sanctioned or restricted country account data within 30 min. L4 Head of Payment Ops for systemic validation engine outage or data leakage immediately.</w:t>
        <w:br/>
        <w:br/>
        <w:t>RACI Matrix &amp; Responsible Roles: Responsible: Validation Operations Analyst, Payments Data Engineer. Accountable: Head of Payment Operations. Consulted: Compliance, Treasury, Product, Client Services, Network Management. Informed: Finance, Internal Audit, Data Governance.</w:t>
        <w:br/>
        <w:br/>
        <w:t>Compliance, Regulatory &amp; Audit References: ISO 13616 IBAN, ISO 9362 BIC, ISO 20022, PSD2, Nacha operating rules, Fedwire/CHIPS rules, GDPR/CCPA, AML/CFT, local clearing rules, SOC 2, ISO 27001.</w:t>
        <w:br/>
        <w:br/>
        <w:t>System Integration, Data Flow &amp; API/Webhook Touchpoints: OmniFlow account validation API; AegisPay Core validation engine; NexusRoute routing enrichment API; SentinelTrace fraud API; VaultGuard tokenization API; CobaltSettlement exception API; IronClad audit API. Webhooks: account.validated, account.invalid, account.corrected, account.requires_manual.</w:t>
        <w:br/>
        <w:br/>
        <w:t>SLA, Cut-off Times &amp; Settlement Windows: Validation response under 200ms for synchronous API; batch validation within 15 min per 100k records; 24x7 availability. Cut-offs follow payment rail. Cache TTL 24 hours for BIC, 30 days for stable routing data, subject to change.</w:t>
        <w:br/>
        <w:br/>
        <w:t>Risk Controls, Exception Handling &amp; Reconciliation: Mod-10/mod-97 checks, BIC directory refresh, duplicate detection, manual review queue, rate limiting, data minimization, encryption, audit logging, and feedback loop from returns/rejects. Engine outage triggers fallback to manual validation and incident response.</w:t>
        <w:br/>
        <w:br/>
        <w:t>Version Control, Approval Workflow &amp; Change Management: Version 1.0. Rule changes require Payment Ops, Compliance, Data Governance, and Engineering approval. Country rule updates versioned and tested in sandbox. Emergency rule changes post-reviewed within 24 hours. Annual review or upon ISO/scheme updates.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