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Procedure ID &amp; Title: PAY-OPS-021: High-Value Wire (Fedwire/CHIPS) Origination &amp; Settlement</w:t>
        <w:br/>
        <w:t>Purpose &amp; Scope: Govern origination, validation, authorization, transmission, tracking, settlement, and reconciliation of high-value USD wires through Fedwire Funds Service and CHIPS, including manual and STP flows, interbank cover payments, and time-critical settlement obligations. Scope excludes low-value ACH and card rails.</w:t>
        <w:br/>
        <w:t>Applicable Payment Corridors &amp; Networks: Fedwire USD, CHIPS USD, SWIFT MT103/MT202 and ISO 20022 pacs.008/pacs.009 for cover/advice, internal book transfers, and correspondent nostro/vostro funding.</w:t>
        <w:br/>
        <w:t>Invented Processing Systems &amp; Architecture: OmniFlow captures wire instructions via API/UI and emits idempotent events; AegisPay Core validates beneficiary, routing, account status, and limits; SentinelTrace performs sanctions, fraud, and velocity screening; VaultGuard confirms liquidity and funding pools; NexusRoute selects Fedwire/CHIPS/SWIFT path and maps ISO 20022 fields; MeridianClear sequences release and settlement; CobaltSettlement reconciles IMAD/OMAD and statement files; IronClad writes immutable audit logs.</w:t>
        <w:br/>
        <w:t>Detailed Key Steps:</w:t>
        <w:br/>
        <w:t>- Ingest payment with idempotency key, validate ABA routing number using mod-10 checksum, account format, beneficiary name, and purpose code.</w:t>
        <w:br/>
        <w:t>- Apply dual-control release thresholds; perform OFAC/sanctions screening and fraud scoring before funding.</w:t>
        <w:br/>
        <w:t>- Verify available liquidity in VaultGuard; place memo hold; convert non-USD funding if required.</w:t>
        <w:br/>
        <w:t>- Route via NexusRoute to Fedwire or CHIPS; generate pacs.008/pacs.009 or MT103/MT202 with UETR.</w:t>
        <w:br/>
        <w:t>- Release through FedLine/CHIPS interface with hardware token or HSM-backed credentials; capture IMAD/OMAD or CHIPS reference.</w:t>
        <w:br/>
        <w:t>- Monitor status via SentinelTrace; process acknowledgements, returns, and NAKs; reconcile to Fed/CHIPS statements.</w:t>
        <w:br/>
        <w:t>Bank Account Number Handling: Full account numbers are tokenized at OmniFlow, encrypted with format-preserving encryption in AegisPay Core, masked to last four for UI/logs, and accessible only to authorized wire desk roles under break-glass review. No clear-text account numbers are written to application logs or webhooks.</w:t>
        <w:br/>
        <w:t>Special Currency Handling: Primary currency is USD. Non-USD funding sources are converted through VaultGuard FX with rate lock and settlement-date value control. Zero-decimal and restricted currencies are not eligible for Fedwire/CHIPS origination and must route via PAY-OPS-022.</w:t>
        <w:br/>
        <w:t>Escalation Framework: Tier 1 Payment Ops triages status exceptions; Tier 2 Wire Desk handles release failures and Fed/CHIPS rejects; Tier 3 Treasury resolves liquidity shortfalls; Compliance escalates sanctions hits; CISO/CRO escalates suspected fraud or cyber compromise. Critical settlement failures trigger incident bridge within 15 minutes.</w:t>
        <w:br/>
        <w:t>RACI Matrix &amp; Responsible Roles: Responsible: Payment Operations Wire Desk, Treasury Operations. Accountable: Head of Payment Operations. Consulted: Compliance, Fraud, Engineering, Relationship Management. Informed: Finance, Audit, Executive Risk Committee.</w:t>
        <w:br/>
        <w:t>Compliance, Regulatory &amp; Audit References: Fed Operating Circulars, CHIPS Rules, UCC Article 4A, OFAC, BSA/AML, Reg J where applicable, ISO 20022, SWIFT CBPR+, internal wire policy, SOX controls.</w:t>
        <w:br/>
        <w:t>System Integration, Data Flow &amp; API/Webhook Touchpoints: POST /v1/wires, POST /v1/wires/{id}/release, GET /v1/wires/{id}; webhooks wire.accepted, wire.released, wire.settled, wire.returned, wire.rejected; FedLine/CHIPS adapter; SWIFT Alliance; IronClad audit event stream.</w:t>
        <w:br/>
        <w:t>SLA, Cut-off Times &amp; Settlement Windows: Fedwire 9:00–18:00 ET; CHIPS 9:00–17:00 ET; internal release cut-off 16:30 ET for same-day settlement. STP target &lt;5 minutes; manual review target &lt;30 minutes. Final settlement same business day subject to network windows.</w:t>
        <w:br/>
        <w:t>Risk Controls, Exception Handling &amp; Reconciliation: Dual authorization, amount thresholds, velocity limits, duplicate detection, sanctions hold, liquidity hold, idempotent release, NAK/return handling, Fed/CHIPS statement reconciliation, IMAD/OMAD trace, aged exception queue.</w:t>
        <w:br/>
        <w:t>Version Control, Approval Workflow &amp; Change Management: Version 1.0; owner Head of Payment Operations; approvers Treasury, Compliance, Engineering; changes via Change Advisory Board, impact assessment, UAT, rollback plan, and IronClad version archive.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