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Procedure ID &amp; Title: PAY-OPS-022: Cross-Border FX &amp; Capital Control Compliance</w:t>
        <w:br/>
        <w:t>Purpose &amp; Scope: Define controls for cross-border payments requiring FX conversion, local capital-control validation, documentation, regulatory reporting, and correspondent routing. Scope includes commercial payments, intercompany transfers, and high-value cross-border wires.</w:t>
        <w:br/>
        <w:t>Applicable Payment Corridors &amp; Networks: SWIFT MT/MX, ISO 20022 pacs.008/pacs.009, correspondent banking, local RTGS, SEPA, CHAPS, Fedwire, ACH where permitted, and regional instant schemes subject to capital-control rules.</w:t>
        <w:br/>
        <w:t>Invented Processing Systems &amp; Architecture: OmniFlow ingests corridor data and documents; AegisPay Core validates IBAN/BIC, beneficiary, and regulatory flags; VaultGuard sources FX rates and locks quotes; NexusRoute selects correspondent path and maps local fields; SentinelTrace screens sanctions, AML, and capital-control triggers; MeridianClear prepares settlement; CobaltSettlement reconciles FX and correspondent accounts; IronClad retains compliance evidence.</w:t>
        <w:br/>
        <w:t>Detailed Key Steps:</w:t>
        <w:br/>
        <w:t>- Validate corridor, beneficiary KYC, purpose code, invoice/documentation, and capital-control classification.</w:t>
        <w:br/>
        <w:t>- Fetch FX rate from VaultGuard, apply spread, lock quote with expiry, and calculate charges and regulatory levies.</w:t>
        <w:br/>
        <w:t>- Screen originator, beneficiary, intermediary, and narrative fields; resolve false positives before release.</w:t>
        <w:br/>
        <w:t>- Generate pacs.008/pacs.009 or MT/MX with UETR, charge bearer, FX rate, and local regulatory fields.</w:t>
        <w:br/>
        <w:t>- Route via NexusRoute to correspondent or local clearing; apply cover payment rules where required.</w:t>
        <w:br/>
        <w:t>- Execute settlement, capture confirmation, generate regulatory reports, and reconcile FX position and correspondent balances.</w:t>
        <w:br/>
        <w:t>Bank Account Number Handling: IBAN, BIC, local account, and routing numbers are validated for structure and checksum, tokenized in AegisPay Core, encrypted at rest, and masked in user interfaces. Cross-border documentation stores only token references and masked identifiers.</w:t>
        <w:br/>
        <w:t>Special Currency Handling: Supports deliverable and restricted currencies, non-deliverable forwards, exotic currency cut-offs, and local decimal conventions. Capital-control currencies require pre-approval, documentation, and reporting before release. FX exposure is monitored in VaultGuard.</w:t>
        <w:br/>
        <w:t>Escalation Framework: Tier 1 FX Operations handles rate/quote issues; Tier 2 Cross-Border Desk handles correspondent rejects; Tier 3 Treasury handles liquidity/FX exposure; Compliance handles sanctions, AML, and capital-control breaches; Legal handles regulatory interpretation. Breaches escalate to CRO within 30 minutes.</w:t>
        <w:br/>
        <w:t>RACI Matrix &amp; Responsible Roles: Responsible: Cross-Border Operations, FX Desk. Accountable: Head of Payment Operations. Consulted: Compliance, Treasury, Tax, Legal. Informed: Finance, Audit, Regional Management.</w:t>
        <w:br/>
        <w:t>Compliance, Regulatory &amp; Audit References: OFAC, EU/UN/UK sanctions, FATF, local FX and capital-control regulations, BSA/AML, FATCA/CRS, SWIFT CBPR+, ISO 20022, correspondent agreements, internal FX policy.</w:t>
        <w:br/>
        <w:t>System Integration, Data Flow &amp; API/Webhook Touchpoints: POST /v1/cross-border/payments, POST /v1/fx/quotes, POST /v1/fx/locks; webhooks fx.quote.created, payment.screened, payment.released, payment.settled, payment.returned; SWIFT adapter; correspondent APIs; IronClad compliance archive.</w:t>
        <w:br/>
        <w:t>SLA, Cut-off Times &amp; Settlement Windows: FX quote lock default 60 seconds; cross-border STP target &lt;15 minutes; correspondent release subject to local cut-offs; same-day value only where corridor and currency windows permit. Month-end and quarter-end capital-control reporting has separate deadlines.</w:t>
        <w:br/>
        <w:t>Risk Controls, Exception Handling &amp; Reconciliation: FX rate slippage controls, quote expiry, sanctions holds, capital-control pre-validation, duplicate payment detection, correspondent confirmation matching, FX position reconciliation, break queue in CobaltSettlement.</w:t>
        <w:br/>
        <w:t>Version Control, Approval Workflow &amp; Change Management: Version 1.0; owner Head of Payment Operations; approvers Compliance, Treasury, Legal; changes require regulatory impact review, UAT, training, and CAB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