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PAY-OPS-023: ACH Returns, Reversals &amp; Recurring Payment Management</w:t>
        <w:br/>
        <w:t>Purpose &amp; Scope: Manage ACH returns, reversals, notifications of change, stop payments, recurring payment mandates, reinitiation rules, and customer communication for unauthorized or failed transactions. Scope includes origination and receipt of ACH files and same-day ACH.</w:t>
        <w:br/>
        <w:t>Applicable Payment Corridors &amp; Networks: NACHA ACH, Same Day ACH, legacy ACH, and equivalent domestic batch schemes where supported. Excludes Fedwire/CHIPS high-value wires and card chargebacks.</w:t>
        <w:br/>
        <w:t>Invented Processing Systems &amp; Architecture: OmniFlow receives return files and webhooks; AegisPay Core validates account and mandate state; NexusRoute maps return codes and routes representment decisions; SentinelTrace detects return fraud patterns; MeridianClear sequences reversals and reinitiations; CobaltSettlement reconciles return files; IronClad archives evidence.</w:t>
        <w:br/>
        <w:t>Detailed Key Steps:</w:t>
        <w:br/>
        <w:t>- Receive ACH return file or webhook; parse return codes such as R01, R02, R03, R04, R05, R07, R10, R11, R29, and NOC codes.</w:t>
        <w:br/>
        <w:t>- Validate return authenticity, original payment, settlement date, and applicable return window.</w:t>
        <w:br/>
        <w:t>- Update payment status to returned/reversed; release or reverse funds per ledger rules.</w:t>
        <w:br/>
        <w:t>- Determine representment, reinitiation, or write-off eligibility under NACHA rules and internal policy.</w:t>
        <w:br/>
        <w:t>- Process NOCs to update recurring mandate routing/account data with customer notification.</w:t>
        <w:br/>
        <w:t>- Manage stop payments, revoked authorizations, and recurring schedule changes; reconcile return file totals.</w:t>
        <w:br/>
        <w:t>Bank Account Number Handling: Account and routing numbers are tokenized, encrypted, and masked. NOCs update tokenized vault references only; clear-text account numbers are never exposed in reports or webhooks.</w:t>
        <w:br/>
        <w:t>Special Currency Handling: ACH is USD-only. Foreign-currency equivalent transactions must route through cross-border or FX procedures. Decimal precision is two places for USD.</w:t>
        <w:br/>
        <w:t>Escalation Framework: Tier 1 ACH Operations handles standard returns; Tier 2 Disputes handles unauthorized returns and Reg E claims; Tier 3 Fraud handles return-pattern anomalies; Compliance handles regulatory reporting; Legal handles litigation holds.</w:t>
        <w:br/>
        <w:t>RACI Matrix &amp; Responsible Roles: Responsible: ACH Operations, Disputes Team. Accountable: Head of Payment Operations. Consulted: Compliance, Fraud, Product, Client Services. Informed: Finance, Audit.</w:t>
        <w:br/>
        <w:t>Compliance, Regulatory &amp; Audit References: NACHA Operating Rules, Reg E, UCC Article 4A, OFAC, BSA/AML, internal return and reinitiation policy.</w:t>
        <w:br/>
        <w:t>System Integration, Data Flow &amp; API/Webhook Touchpoints: POST /v1/ach/returns, POST /v1/ach/reversals, PATCH /v1/recurring/mandates; webhooks ach.returned, ach.reversed, ach.noc.received, recurring.mandate.updated; ACH operator file exchange; IronClad audit log.</w:t>
        <w:br/>
        <w:t>SLA, Cut-off Times &amp; Settlement Windows: Return processing within one business day of receipt; Same Day ACH windows follow operator cut-offs; reversal release within 2 hours for high-priority cases; recurring mandate updates within 1 business day.</w:t>
        <w:br/>
        <w:t>Risk Controls, Exception Handling &amp; Reconciliation: Return code validation, duplicate return detection, representment eligibility checks, stop-payment controls, mandate audit trail, daily ACH reconciliation, exception queue aging, fraud pattern monitoring.</w:t>
        <w:br/>
        <w:t>Version Control, Approval Workflow &amp; Change Management: Version 1.0; owner ACH Operations Manager; approvers Compliance, Product, Engineering; changes require NACHA rule impact review, UAT, and CAB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