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PAY-OPS-024: Treasury Management &amp; Cash Pooling Operations</w:t>
        <w:br/>
        <w:t>Purpose &amp; Scope: Govern treasury positioning, cash pooling, notional and physical sweeps, intercompany funding, liquidity buffers, and multi-currency cash concentration. Scope includes internal book transfers, bank sweeps, and funding of payment rails.</w:t>
        <w:br/>
        <w:t>Applicable Payment Corridors &amp; Networks: Internal ledger transfers, Fedwire, CHIPS, SWIFT MT/MX, local RTGS, ACH, and money market/cash investment rails. Supports domestic and cross-border pooling structures.</w:t>
        <w:br/>
        <w:t>Invented Processing Systems &amp; Architecture: VaultGuard manages liquidity pools, target balances, and FX; AegisPay Core maintains master/sub-account registry; MeridianClear executes sweeps and settlement; CobaltSettlement reconciles pool positions; SentinelTrace monitors anomalous treasury movements; IronClad records approvals and audit trails.</w:t>
        <w:br/>
        <w:t>Detailed Key Steps:</w:t>
        <w:br/>
        <w:t>- Monitor intraday balances, forecasted funding, and payment obligations across entities and currencies.</w:t>
        <w:br/>
        <w:t>- Calculate target positions per pool, entity, and currency; apply minimum buffer and regulatory reserve requirements.</w:t>
        <w:br/>
        <w:t>- Execute notional or physical sweeps, intercompany loans, and cash concentration transfers.</w:t>
        <w:br/>
        <w:t>- Fund payment rails through VaultGuard; manage FX conversions for multi-currency pools.</w:t>
        <w:br/>
        <w:t>- Invest excess cash or draw down liquidity facilities within approved limits.</w:t>
        <w:br/>
        <w:t>- Reconcile pool positions, interest allocations, and intercompany balances; produce treasury reporting.</w:t>
        <w:br/>
        <w:t>Bank Account Number Handling: Master, sub, and virtual account numbers are tokenized and mapped in AegisPay Core. Sweep instructions reference tokenized account IDs; clear-text bank details are restricted to Treasury and masked in reporting.</w:t>
        <w:br/>
        <w:t>Special Currency Handling: Multi-currency pooling requires separate currency sub-pools or FX-converted notional pools. Restricted currencies, capital-controlled currencies, and non-convertible currencies are excluded unless approved by Treasury and Compliance.</w:t>
        <w:br/>
        <w:t>Escalation Framework: Tier 1 Treasury Operations handles sweep failures; Tier 2 Liquidity Desk handles funding shortfalls; Tier 3 Treasurer/CFO handles facility drawdowns; Compliance handles regulatory reserve or capital-control issues; Risk handles counterparty exposure.</w:t>
        <w:br/>
        <w:t>RACI Matrix &amp; Responsible Roles: Responsible: Treasury Operations, Liquidity Desk. Accountable: Corporate Treasurer. Consulted: Finance, Compliance, Tax, Payment Operations. Informed: Audit, Executive Committee.</w:t>
        <w:br/>
        <w:t>Compliance, Regulatory &amp; Audit References: Internal treasury policy, transfer pricing and tax rules, regulatory reserves, liquidity coverage ratio where applicable, BSA/AML, OFAC, local cash-pooling regulations.</w:t>
        <w:br/>
        <w:t>System Integration, Data Flow &amp; API/Webhook Touchpoints: POST /v1/treasury/sweeps, POST /v1/liquidity/positions, GET /v1/pools/{id}; webhooks sweep.executed, liquidity.threshold.breached, pool.reconciled; bank statement feeds; IronClad audit trail.</w:t>
        <w:br/>
        <w:t>SLA, Cut-off Times &amp; Settlement Windows: Intraday position refresh every 15 minutes; sweep execution within 30 minutes of trigger; funding cut-off aligned to payment rail cut-offs; end-of-day pool reconciliation by 20:00 local time.</w:t>
        <w:br/>
        <w:t>Risk Controls, Exception Handling &amp; Reconciliation: Segregation of duties, dual approval for sweeps, counterparty limits, overdraft controls, FX exposure limits, automated reconciliation, exception escalation, audit logging.</w:t>
        <w:br/>
        <w:t>Version Control, Approval Workflow &amp; Change Management: Version 1.0; owner Corporate Treasurer; approvers Finance, Compliance, Risk; changes require treasury committee approval, UAT, and CAB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