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PAY-OPS-025: Payment Fraud &amp; Cyber Incident Response Protocol</w:t>
        <w:br/>
        <w:t>Purpose &amp; Scope: Define detection, triage, containment, eradication, recovery, notification, and post-incident review for payment fraud and cyber incidents affecting payment systems, credentials, APIs, and settlement rails. Scope includes BEC, APP fraud, ransomware, API abuse, insider threat, and compromised keys.</w:t>
        <w:br/>
        <w:t>Applicable Payment Corridors &amp; Networks: All payment corridors: ACH, RTP, Fedwire, CHIPS, SWIFT, card acquiring, digital wallets, cross-border, and internal book transfers.</w:t>
        <w:br/>
        <w:t>Invented Processing Systems &amp; Architecture: SentinelTrace generates fraud/cyber alerts and anomaly scores; OmniFlow enforces API throttling, token revocation, and webhook isolation; AegisPay Core freezes accounts and mandates; NexusRoute blocks compromised routes/BICs; MeridianClear halts settlement; CobaltSettlement isolates reconciliation; VaultGuard locks liquidity; IronClad captures forensics.</w:t>
        <w:br/>
        <w:t>Detailed Key Steps:</w:t>
        <w:br/>
        <w:t>- Detect alert via SentinelTrace, SIEM, fraud rules, customer report, or regulator notification.</w:t>
        <w:br/>
        <w:t>- Triage severity and declare incident; appoint Incident Commander and scribe.</w:t>
        <w:br/>
        <w:t>- Contain: revoke API keys, rotate credentials, disable webhooks, block beneficiary accounts/BICs, freeze payments, and isolate affected services.</w:t>
        <w:br/>
        <w:t>- Investigate: preserve logs, memory, disk images, transaction traces, and UETRs; determine root cause and blast radius.</w:t>
        <w:br/>
        <w:t>- Eradicate/recover: patch vulnerability, restore from clean backups, validate controls, and resume payments in controlled phases.</w:t>
        <w:br/>
        <w:t>- Notify: inform internal stakeholders, customers, banks, regulators, and law enforcement as required; file SAR/STR if applicable.</w:t>
        <w:br/>
        <w:t>- Post-incident: conduct lessons-learned, update controls, and track remediation actions.</w:t>
        <w:br/>
        <w:t>Bank Account Number Handling: Compromised account numbers are tokenized, blocked, and monitored. Forensic copies are encrypted and access-restricted. Customer notifications use masked identifiers unless secure channels require full detail.</w:t>
        <w:br/>
        <w:t>Special Currency Handling: All currencies are in scope. FX and cross-border incidents must also assess capital-control, sanctions, and correspondent notification obligations. Crypto/tokenized wallet addresses are monitored where supported.</w:t>
        <w:br/>
        <w:t>Escalation Framework: Tier 1 SOC triages alerts; Tier 2 Fraud Operations investigates payment fraud; Tier 3 CISO/CRO leads cyber incident; Compliance leads regulatory notification; Legal leads privilege and law enforcement coordination; Executive Crisis Committee for material incidents. Critical incidents require bridge within 15 minutes.</w:t>
        <w:br/>
        <w:t>RACI Matrix &amp; Responsible Roles: Responsible: Security Operations Center, Fraud Operations, Payment Operations. Accountable: CISO and Head of Payment Operations jointly for cyber-payment incidents. Consulted: Compliance, Legal, Treasury, Engineering, Communications. Informed: Board Risk Committee, Regulators as required.</w:t>
        <w:br/>
        <w:t>Compliance, Regulatory &amp; Audit References: FFIEC, NYDFS Part 500, PCI DSS, GDPR/CCPA, PSD2 where applicable, OFAC, BSA/AML, SEC/FINRA where applicable, incident reporting rules, internal fraud policy.</w:t>
        <w:br/>
        <w:t>System Integration, Data Flow &amp; API/Webhook Touchpoints: POST /v1/incidents, POST /v1/security/revoke, POST /v1/payments/hold; webhooks fraud.alert, incident.declared, incident.contained, payment.blocked; SIEM/SOAR integration; IronClad forensic archive.</w:t>
        <w:br/>
        <w:t>SLA, Cut-off Times &amp; Settlement Windows: Critical alert triage &lt;15 minutes; containment initiation &lt;30 minutes; customer/regulator notification within regulatory timelines; payment resumption only after Incident Commander and Compliance approval.</w:t>
        <w:br/>
        <w:t>Risk Controls, Exception Handling &amp; Reconciliation: Least privilege, MFA, API key rotation, velocity limits, beneficiary allowlists, out-of-band verification, dual approval, immutable logs, forensic chain of custody, post-incident reconciliation, control testing.</w:t>
        <w:br/>
        <w:t>Version Control, Approval Workflow &amp; Change Management: Version 1.0; owner CISO and Head of Payment Operations; approvers Compliance, Legal, Risk, Engineering; changes require tabletop exercise, UAT, executive approval, and IronClad version archive.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