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PAY-OPS-028: Payment Network Switching &amp; Failover Routing</w:t>
        <w:br/>
        <w:br/>
        <w:t>Purpose &amp; Scope: This procedure establishes controls for payment network health monitoring, primary/secondary routing, failover execution, and recovery from network degradation. It ensures payment continuity across multiple rails without duplicate debits, lost instructions, or reconciliation breaks.</w:t>
        <w:br/>
        <w:br/>
        <w:t>Applicable Payment Corridors &amp; Networks: ACH, RTP, FedNow, Fedwire, CHIPS, SWIFT, SEPA, SEPA Instant, Faster Payments, CHAPS, TARGET2/T2, card networks, and wallet payout rails.</w:t>
        <w:br/>
        <w:br/>
        <w:t>Invented Processing Systems &amp; Architecture: NexusRoute performs network selection, routing table management, and failover logic; OmniFlow receives payment requests and delivers webhooks; SentinelTrace monitors network latency, error rates, and anomaly thresholds; MeridianClear executes settlement on the selected rail; CobaltSettlement reconciles failover payments; VaultGuard validates funding availability; IronClad records routing decisions and failover events.</w:t>
        <w:br/>
        <w:br/>
        <w:t xml:space="preserve">Detailed Key Steps: </w:t>
        <w:br/>
        <w:t>1. Continuously monitor network health via SentinelTrace synthetic transactions and operator status feeds.</w:t>
        <w:br/>
        <w:t>2. Maintain primary, secondary, and tertiary route tables in NexusRoute by corridor, currency, value, and client tier.</w:t>
        <w:br/>
        <w:t>3. Apply circuit-breaker thresholds for error rate, latency, and rejection percentage.</w:t>
        <w:br/>
        <w:t>4. On breach, mark primary rail degraded and pause new submissions.</w:t>
        <w:br/>
        <w:t>5. Evaluate failover eligibility: value limits, currency support, beneficiary reach, and cut-off compliance.</w:t>
        <w:br/>
        <w:t>6. Generate idempotent payment retry with the same payment ID but new network-specific instruction reference.</w:t>
        <w:br/>
        <w:t>7. Route to secondary rail; notify OmniFlow webhook subscribers of routing change.</w:t>
        <w:br/>
        <w:t>8. Reconcile in-flight payments in CobaltSettlement to prevent duplicate settlement.</w:t>
        <w:br/>
        <w:t>9. Return to primary rail only after health checks pass for a sustained stabilization window.</w:t>
        <w:br/>
        <w:br/>
        <w:t>Bank Account Number Handling: Routing numbers, IBANs, BICs, and account tokens are validated in AegisPay Core before failover. Full bank account numbers are never exposed in routing logs; only tokenized references and masked identifiers are used. Failover instructions must preserve beneficiary account integrity.</w:t>
        <w:br/>
        <w:br/>
        <w:t>Special Currency Handling: Currency-specific failover rules apply. For example, USD may fail over between Fedwire, CHIPS, and RTP where value limits permit; EUR between TARGET2 and SEPA; GBP between CHAPS and Faster Payments. Restricted currencies require Compliance approval before alternate routing.</w:t>
        <w:br/>
        <w:br/>
        <w:t>Escalation Framework: Tier 1 Network Operations resolves minor degradation within 10 minutes. Tier 2 Payment Operations approves failover within 15 minutes. Tier 3 Engineering/Network Architecture handles persistent failures. Tier 4 Incident Command handles major outage, regulatory notification, and client communication.</w:t>
        <w:br/>
        <w:br/>
        <w:t>RACI Matrix &amp; Responsible Roles: Network Operations is Responsible for health monitoring. NexusRoute Engineering is Accountable for routing logic. Payment Operations is Responsible for failover execution. Risk is Consulted for duplicate-payment exposure. Compliance is Informed for regulatory reporting. IronClad is Responsible for immutable failover evidence.</w:t>
        <w:br/>
        <w:br/>
        <w:t>Compliance, Regulatory &amp; Audit References: DORA, PSD2, Regulation E, Nacha Operating Rules, Fedwire/CHIPS rules, SWIFT CSP, card network rules, and internal operational resilience standards.</w:t>
        <w:br/>
        <w:br/>
        <w:t>System Integration, Data Flow &amp; API/Webhook Touchpoints: NexusRoute exposes /v1/routing/health, /v1/routing/failover, and webhooks network.degraded, route.failover.executed, route.restored. OmniFlow publishes payment.status.changed. CobaltSettlement consumes reconciliation events. SentinelTrace provides network health telemetry.</w:t>
        <w:br/>
        <w:br/>
        <w:t>SLA, Cut-off Times &amp; Settlement Windows: Health check interval is 30 seconds. Failover decision target is 5 minutes for critical rails. RTO target is 15 minutes; RPO target is zero for payment instructions. Cut-offs are enforced per alternate rail. Stabilization window before failback is 30 minutes.</w:t>
        <w:br/>
        <w:br/>
        <w:t>Risk Controls, Exception Handling &amp; Reconciliation: Controls include idempotency keys, duplicate detection, route eligibility matrix, circuit breakers, and manual approval for high-value failovers. Exceptions include duplicate payment, failover loop, unsupported beneficiary, cut-off miss, and reconciliation break. CobaltSettlement performs failover-specific reconciliation and duplicate suppression.</w:t>
        <w:br/>
        <w:br/>
        <w:t>Version Control, Approval Workflow &amp; Change Management: Version 1.0. Owner: Head of Network Operations. Approvers: Head of Payment Operations, Risk Officer, Engineering Director, and Compliance Officer. Routing table changes require peer review and IronClad logging. Emergency failover runbooks are tested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