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PAY-OPS-029: Client Onboarding &amp; KYC/AML Integration for Payments</w:t>
        <w:br/>
        <w:br/>
        <w:t>Purpose &amp; Scope: This procedure defines the onboarding, KYC/KYB, AML, sanctions, and account-validation requirements for clients and counterparties initiating or receiving payments through OmniFlow. It ensures regulatory compliance, risk-based due diligence, and payment-ready master data.</w:t>
        <w:br/>
        <w:br/>
        <w:t>Applicable Payment Corridors &amp; Networks: All payment corridors, including ACH, RTP, FedNow, Fedwire, CHIPS, SWIFT, SEPA, SEPA Instant, Faster Payments, card networks, and wallet payout rails.</w:t>
        <w:br/>
        <w:br/>
        <w:t>Invented Processing Systems &amp; Architecture: OmniFlow captures onboarding applications and client webhooks; AegisPay Core creates account registries and validates IBAN/BIC/routing numbers; SentinelTrace performs sanctions, PEP, adverse media, and transaction-monitoring integration; IronClad stores KYC evidence and audit trails; VaultGuard validates funding accounts; MeridianClear enables payment initiation only after onboarding approval.</w:t>
        <w:br/>
        <w:br/>
        <w:t xml:space="preserve">Detailed Key Steps: </w:t>
        <w:br/>
        <w:t>1. Capture client legal entity, UBO, directors, address, industry, expected payment volumes, and corridors.</w:t>
        <w:br/>
        <w:t>2. Perform KYC/KYB document collection, identity verification, and liveness checks where applicable.</w:t>
        <w:br/>
        <w:t>3. Screen against OFAC, EU, UN, UK HM Treasury, and internal watchlists using SentinelTrace.</w:t>
        <w:br/>
        <w:t>4. Identify PEPs, adverse media, high-risk jurisdictions, and complex ownership structures.</w:t>
        <w:br/>
        <w:t>5. Validate bank account numbers, IBANs, BICs, routing numbers, and beneficiary names through AegisPay Core.</w:t>
        <w:br/>
        <w:t>6. Assign customer risk rating and determine CDD, EDD, or rejection.</w:t>
        <w:br/>
        <w:t>7. Obtain compliance approval for high-risk or restricted-currency relationships.</w:t>
        <w:br/>
        <w:t>8. Activate payment permissions in AegisPay Core and publish onboarding status to OmniFlow.</w:t>
        <w:br/>
        <w:t>9. Conduct periodic review, trigger-event review, and ongoing transaction monitoring.</w:t>
        <w:br/>
        <w:br/>
        <w:t>Bank Account Number Handling: Bank account numbers, IBANs, and routing details must be collected through secure forms, validated with mod-10 checksum where applicable, encrypted at rest, and tokenized for payment use. Full account numbers are masked in onboarding dashboards and never logged in plaintext. IronClad stores only tokenized references and audit metadata.</w:t>
        <w:br/>
        <w:br/>
        <w:t>Special Currency Handling: Clients transacting in restricted or high-risk currencies require enhanced due diligence, purpose-code validation, and capital-control attestations. FATF grey-list and black-list jurisdictions require EDD and senior compliance approval. Currency-specific payment permissions are enforced by AegisPay Core and NexusRoute.</w:t>
        <w:br/>
        <w:br/>
        <w:t>Escalation Framework: Tier 1 Onboarding Operations resolves missing documents within 1 business day. Tier 2 Compliance Review handles EDD, PEP, and sanctions false positives within 2 business days. Tier 3 MLRO/AML Officer approves high-risk relationships. Tier 4 Legal/Regulatory handles law-enforcement, subpoena, or regulatory inquiry.</w:t>
        <w:br/>
        <w:br/>
        <w:t>RACI Matrix &amp; Responsible Roles: Onboarding Operations is Responsible for client intake and document collection. Compliance is Accountable for KYC/AML approval. AegisPay Core Administration is Responsible for master-data activation. SentinelTrace is Responsible for screening. IronClad is Responsible for evidence retention. Payment Operations is Informed of activation.</w:t>
        <w:br/>
        <w:br/>
        <w:t>Compliance, Regulatory &amp; Audit References: BSA/AML, USA PATRIOT Act, OFAC, EU AMLD, FATF Recommendations, UK MLR 2017, GDPR, local KYC/KYB rules, and card network onboarding standards.</w:t>
        <w:br/>
        <w:br/>
        <w:t>System Integration, Data Flow &amp; API/Webhook Touchpoints: OmniFlow exposes /v1/onboarding/applications, /v1/onboarding/status, and webhooks kyc.approved, kyc.rejected, kyc.review.required. AegisPay Core exposes account validation APIs. SentinelTrace publishes screening results. IronClad stores immutable onboarding events.</w:t>
        <w:br/>
        <w:br/>
        <w:t>SLA, Cut-off Times &amp; Settlement Windows: Standard onboarding TAT is 2 business days after complete documentation. EDD TAT is 5 business days. Sanctions screening alert review is within 4 hours. Payment activation occurs within 1 hour of compliance approval. Periodic review is risk-based: low 36 months, medium 24 months, high 12 months.</w:t>
        <w:br/>
        <w:br/>
        <w:t>Risk Controls, Exception Handling &amp; Reconciliation: Controls include duplicate-client detection, UBO verification, sanctions screening, account validation, risk scoring, and segregation of duties. Exceptions include incomplete documents, sanctions hit, invalid bank account, ownership complexity, and regulatory restriction. AegisPay Core reconciles onboarding approvals against payment permissions daily.</w:t>
        <w:br/>
        <w:br/>
        <w:t>Version Control, Approval Workflow &amp; Change Management: Version 1.0. Owner: Head of Compliance Onboarding. Approvers: MLRO, Head of Payment Operations, Risk Officer, and Legal Counsel. Changes require regulatory impact assessment, UAT, and IronClad audit entry. Emergency onboarding exceptions require dual approval and retrospective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