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OperationalRAG Audit Log</w:t>
      </w:r>
    </w:p>
    <w:p>
      <w:pPr>
        <w:pStyle w:val="Heading1"/>
      </w:pPr>
      <w:r>
        <w:t>User Question:</w:t>
      </w:r>
    </w:p>
    <w:p>
      <w:r>
        <w:t>What is the cutoff for fed?</w:t>
      </w:r>
    </w:p>
    <w:p>
      <w:pPr>
        <w:pStyle w:val="Heading1"/>
      </w:pPr>
      <w:r>
        <w:t>AI Generated Answer:</w:t>
      </w:r>
    </w:p>
    <w:p>
      <w:r>
        <w:t>The cut-off for Fedwire is 9:00-18:00 ET. This information is sourced from PAY-OPS-012.docx.</w:t>
      </w:r>
    </w:p>
    <w:p>
      <w:pPr>
        <w:pStyle w:val="Heading1"/>
      </w:pPr>
      <w:r>
        <w:t>Supporting Evidence (Retrieved Chunks):</w:t>
      </w:r>
    </w:p>
    <w:p>
      <w:r>
        <w:t>File: Windows: Cut-off adherence SLA: 99.95% of payments submitted before cut-off. Late payment notification within 5 minutes. Holiday calendar updates published 30 days in advance. Settlement windows per rail: Fedwire 9:00-18:00 ET, CHIPS 9:00-17:00 ET, RTP 24/7, SEPA 6:00-16:00 CET. Risk Controls, Exception Handling &amp; Reconciliation: Automated cut-off enforcement with dual approval for overrides. Daily reconciliation of queued vs. settled payments. Exception queue for missed cut-offs. Holiday calendar version control with audit trail. Version Control, Approval Workflow &amp; Change Management: Version 1.2. Approved by Head of Payment Operations and Treasury. Changes to cut-off rules require 60-day notice to clients. Document stored in IronClad with digital signature.</w:t>
        <w:br/>
        <w:t>Content: PAY-OPS-012.docx</w:t>
        <w:br/>
        <w:t>------------------------------</w:t>
      </w:r>
    </w:p>
    <w:p>
      <w:r>
        <w:t>File: applies value date adjustments. 7) IronClad records all cut-off overrides with user ID and justification. Bank Account Number Handling: No account numbers are processed in this procedure; only payment IDs and rail identifiers. Any account data in exception reports is masked to last four digits. Special Currency Handling: For currencies with non-standard cut-offs (e.g., CNY, INR), AegisPay Core applies local scheme rules. FX value dates are adjusted for T+1 or T+2 based on currency pair. Escalation Framework: Tier 1 – Payment Ops Analyst (immediate). Tier 2 – Cut-off Manager (15 min). Tier 3 – Treasury (30 min). Tier 4 – Head of Payment Operations (1 hour). Missed central bank window triggers Tier 4 and regulatory notification. RACI Matrix &amp; Responsible Roles: Responsible – Payment Ops Analyst (monitoring), Cut-off Manager (override approval). Accountable – Head of Payment Operations. Consulted – Treasury, Compliance. Informed – Client Services, Relationship Managers. Compliance, Regulatory &amp; Audit References: Federal Reserve Operating Circulars, CHIPS Rules, SWIFT User Handbook, SEPA Rulebook, PSD2, local central bank directives. System Integration, Data Flow &amp; API/Webhook Touchpoints: OmniFlow exposes GET /v1/cutoffs?rail=SWIFT and webhook cuttoff.warning, cuttoff.missed. AegisPay Core provides GET /v1/holidays?country=US. NexusRoute emits route.deferred. MeridianClear sends queue.updated webhook. SLA, Cut-off Times &amp; Settlement Windows: Cut-off adherence SLA: 99.95% of payments submitted before cut-off. Late payment notification within 5 minutes. Holiday calendar updates published 30 days in advance. Settlement windows per rail: Fedwire 9:00-18:00 ET, CHIPS 9:00-17:00 ET, RTP 24/7, SEPA 6:00-16:00 CET. Risk Controls, Exception Handling &amp; Reconciliation: Automated cut-off enforcement with dual</w:t>
        <w:br/>
        <w:t>Content: PAY-OPS-012.docx</w:t>
        <w:br/>
        <w:t>------------------------------</w:t>
      </w:r>
    </w:p>
    <w:p>
      <w:r>
        <w:t>File: messages to credits, and gpi confirmations to UETRs. Aged exceptions escalate to correspondent banking and Treasury. Version Control, Approval Workflow &amp; Change Management: Version 1.0. Owner: Head of Payment Operations. Approvers: Chief Compliance Officer, Chief Risk Officer, Chief Technology Officer, Treasury Head. Changes to field mapping, SWIFT release, or screening rules require impact assessment, test certification, CAB approval, and post-implementation verification. Emergency changes require retrospective review within one business day.</w:t>
        <w:br/>
        <w:t>Content: PAY-OPS-002.docx</w:t>
        <w:br/>
        <w:t>------------------------------</w:t>
      </w:r>
    </w:p>
    <w:p>
      <w:r>
        <w:t>File: AML/CFT, PSD2/PSD3 where applicable, Basel Committee correspondent banking principles, SOC 1/2, ISO 27001. System Integration, Data Flow &amp; API/Webhook Touchpoints: OmniFlow REST/ISO 20022 APIs; AegisPay Core account validation API; NexusRoute transformation API; SentinelTrace screening API; MeridianClear settlement API; VaultGuard FX API; CobaltSettlement recon API; IronClad immutable log API. Webhooks for payment status, gpi updates, exceptions, and recon completion. SLA, Cut-off Times &amp; Settlement Windows: Instruction acceptance 24x7; validation within 5 min; screening within 10 min; correspondent cut-offs per currency and corridor; gpi updates within 30 min of network events; Nostro reconciliation T+0 intraday and T+1 final. Month-end and holiday calendars published annually. Risk Controls, Exception Handling &amp; Reconciliation: Dual authorization for high-value; sanctions hold; duplicate detection; idempotency; liquidity checks; gpi tracking; Nostro/Vostro daily proofing; break aging; FX exposure limits; compensating controls for manual overrides; root cause analysis for breaks above USD 100k. Version Control, Approval Workflow &amp; Change Management: Version 1.0. Changes require Payment Ops, Treasury, Compliance, and Internal Audit approval. Emergency changes allowed with post-facto review within 24 hours. Change log retained in IronClad. Annual review or upon regulatory/correspondent changes.</w:t>
        <w:br/>
        <w:t>Content: PAY-OPS-016.docx</w:t>
        <w:br/>
        <w:t>------------------------------</w:t>
      </w:r>
    </w:p>
    <w:p>
      <w:r>
        <w:t>File: Article 4A, OFAC, BSA/AML, Reg J where applicable, ISO 20022, SWIFT CBPR+, internal wire policy, SOX controls. System Integration, Data Flow &amp; API/Webhook Touchpoints: POST /v1/wires, POST /v1/wires/{id}/release, GET /v1/wires/{id}; webhooks wire.accepted, wire.released, wire.settled, wire.returned, wire.rejected; FedLine/CHIPS adapter; SWIFT Alliance; IronClad audit event stream. SLA, Cut-off Times &amp; Settlement Windows: Fedwire 9:00–18:00 ET; CHIPS 9:00–17:00 ET; internal release cut-off 16:30 ET for same-day settlement. STP target &lt;5 minutes; manual review target &lt;30 minutes. Final settlement same business day subject to network windows. Risk Controls, Exception Handling &amp; Reconciliation: Dual authorization, amount thresholds, velocity limits, duplicate detection, sanctions hold, liquidity hold, idempotent release, NAK/return handling, Fed/CHIPS statement reconciliation, IMAD/OMAD trace, aged exception queue. Version Control, Approval Workflow &amp; Change Management: Version 1.0; owner Head of Payment Operations; approvers Treasury, Compliance, Engineering; changes via Change Advisory Board, impact assessment, UAT, rollback plan, and IronClad version archive.</w:t>
        <w:br/>
        <w:t>Content: PAY-OPS-021.docx</w:t>
        <w:br/>
        <w:t>------------------------------</w:t>
      </w:r>
    </w:p>
    <w:p>
      <w:r>
        <w:br/>
        <w:br/>
        <w:t>DISCLAIMER: This is an AI-generated response. The user MUST manually verify this information against the original procedural documents in the source folder before taking operational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