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OperationalRAG Audit Log</w:t>
      </w:r>
    </w:p>
    <w:p>
      <w:pPr>
        <w:pStyle w:val="Heading1"/>
      </w:pPr>
      <w:r>
        <w:t>User Question:</w:t>
      </w:r>
    </w:p>
    <w:p>
      <w:r>
        <w:t>What is the price of bitcoin</w:t>
      </w:r>
    </w:p>
    <w:p>
      <w:pPr>
        <w:pStyle w:val="Heading1"/>
      </w:pPr>
      <w:r>
        <w:t>AI Generated Answer:</w:t>
      </w:r>
    </w:p>
    <w:p>
      <w:r>
        <w:t>The notes do not say.</w:t>
      </w:r>
    </w:p>
    <w:p>
      <w:pPr>
        <w:pStyle w:val="Heading1"/>
      </w:pPr>
      <w:r>
        <w:t>Supporting Evidence (Retrieved Chunks):</w:t>
      </w:r>
    </w:p>
    <w:p>
      <w:r>
        <w:t>File: compromised tokens. 8. Reconcile token, wallet, and network settlement daily; resolve exceptions. Bank Account Number Handling: PANs are never stored; tokenized surrogate values are used. Bank account numbers for wallet payouts are tokenized in AegisPay Core and masked. Full account data encrypted and segregated. Token vault access requires dual control and HSM. Special Currency Handling: Multi-currency wallets supported. VaultGuard applies FX conversion with rate lock and spread disclosure. Currency-specific wallet limits, regulatory licensing, and settlement windows enforced. Stablecoin or crypto-adjacent tokens prohibited unless approved by Compliance and covered by separate SOP. Escalation Framework: L1 Wallet Ops for token/authorization errors within 15 min. L2 Card/Network Ops for scheme declines within 30 min. L3 Fraud/Compliance for suspicious token activity within 15 min. L4 Head of Payment Ops/MLRO for token vault breach or network-wide outage immediately. RACI Matrix &amp; Responsible Roles: Responsible: Wallet Operations Analyst, Token Vault Administrator. Accountable: Head of Payment Operations. Consulted: Fraud, Compliance, Product, Card Networks, Treasury. Informed: Client Services, Finance, Internal Audit. Compliance, Regulatory &amp; Audit References: PCI DSS, EMVCo Tokenisation, PSD2 SCA, GDPR/CCPA, local e-money regulations, card network rules, ISO 8583/ISO 20022, SOC 2, ISO 27001. System Integration, Data Flow &amp; API/Webhook Touchpoints: OmniFlow token provisioning API; AegisPay Core wallet ledger API; NexusRoute routing API; SentinelTrace fraud API; VaultGuard token vault API; CobaltSettlement recon API; IronClad audit API. Webhooks for token created, authorized, captured, refunded, chargeback, and settlement. SLA, Cut-off Times &amp; Settlement Windows: Real-time authorization under 2 seconds; token provisioning under 5 seconds; wallet payout cut-offs per</w:t>
        <w:br/>
        <w:t>Content: PAY-OPS-017.docx</w:t>
        <w:br/>
        <w:t>------------------------------</w:t>
      </w:r>
    </w:p>
    <w:p>
      <w:r>
        <w:t>File: Cut-off Times &amp; Settlement Windows: FX quote lock default 60 seconds; cross-border STP target &lt;15 minutes; correspondent release subject to local cut-offs; same-day value only where corridor and currency windows permit. Month-end and quarter-end capital-control reporting has separate deadlines. Risk Controls, Exception Handling &amp; Reconciliation: FX rate slippage controls, quote expiry, sanctions holds, capital-control pre-validation, duplicate payment detection, correspondent confirmation matching, FX position reconciliation, break queue in CobaltSettlement. Version Control, Approval Workflow &amp; Change Management: Version 1.0; owner Head of Payment Operations; approvers Compliance, Treasury, Legal; changes require regulatory impact review, UAT, training, and CAB approval.</w:t>
        <w:br/>
        <w:t>Content: PAY-OPS-022.docx</w:t>
        <w:br/>
        <w:t>------------------------------</w:t>
      </w:r>
    </w:p>
    <w:p>
      <w:r>
        <w:t>File: customers, banks, regulators, and law enforcement as required; file SAR/STR if applicable. - Post-incident: conduct lessons-learned, update controls, and track remediation actions. Bank Account Number Handling: Compromised account numbers are tokenized, blocked, and monitored. Forensic copies are encrypted and access-restricted. Customer notifications use masked identifiers unless secure channels require full detail. Special Currency Handling: All currencies are in scope. FX and cross-border incidents must also assess capital-control, sanctions, and correspondent notification obligations. Crypto/tokenized wallet addresses are monitored where supported. Escalation Framework: Tier 1 SOC triages alerts; Tier 2 Fraud Operations investigates payment fraud; Tier 3 CISO/CRO leads cyber incident; Compliance leads regulatory notification; Legal leads privilege and law enforcement coordination; Executive Crisis Committee for material incidents. Critical incidents require bridge within 15 minutes. RACI Matrix &amp; Responsible Roles: Responsible: Security Operations Center, Fraud Operations, Payment Operations. Accountable: CISO and Head of Payment Operations jointly for cyber-payment incidents. Consulted: Compliance, Legal, Treasury, Engineering, Communications. Informed: Board Risk Committee, Regulators as required. Compliance, Regulatory &amp; Audit References: FFIEC, NYDFS Part 500, PCI DSS, GDPR/CCPA, PSD2 where applicable, OFAC, BSA/AML, SEC/FINRA where applicable, incident reporting rules, internal fraud policy. System Integration, Data Flow &amp; API/Webhook Touchpoints: POST /v1/incidents, POST /v1/security/revoke, POST /v1/payments/hold; webhooks fraud.alert, incident.declared, incident.contained, payment.blocked; SIEM/SOAR integration; IronClad forensic archive. SLA, Cut-off Times &amp; Settlement Windows: Critical alert triage &lt;15 minutes; containment initiation &lt;30 minutes; customer/regulator notification within regulatory timelines; payment resumption only after Incident Commander and Compliance approval. Risk Controls, Exception Handling &amp; Reconciliation: Least privilege, MFA, API key rotation,</w:t>
        <w:br/>
        <w:t>Content: PAY-OPS-025.docx</w:t>
        <w:br/>
        <w:t>------------------------------</w:t>
      </w:r>
    </w:p>
    <w:p>
      <w:r>
        <w:t>File: Procedure ID &amp; Title: PAY-OPS-002: SWIFT MT/MX Message Processing &amp; ISO 20022 Field Mapping Purpose &amp; Scope: This procedure defines the processing, validation, enrichment, translation, screening, routing, settlement, and tracking of SWIFT cross-border payments using legacy MT messages and ISO 20022 MX messages. It covers MT103, MT202, MT202 COV, MT940, MT950, pacs.008, pacs.009, pain.001, camt.053, and related status and return messages. Applicable Payment Corridors &amp; Networks: SWIFT FIN, SWIFT InterAct, SWIFT gpi, SWIFT CBPR+, TARGET2/T2, CHAPS, Fedwire international linkages, and correspondent banking channels. The procedure supports cross-border low-value and high-value payments, bank transfers, and cover payments. Invented Processing Systems &amp; Architecture: OmniFlow receives MT/MX traffic through SWIFT Alliance or API gateways. AegisPay Core validates BIC, IBAN, LEI, account status, and master data. NexusRoute performs MT-to-MX and MX-to-MT translation, field mapping, and routing selection. SentinelTrace screens sanctions, AML, fraud, and watchlists. VaultGuard sources FX rates and manages currency positions. MeridianClear prepares settlement and sequencing. CobaltSettlement reconciles statements, confirmations, and exceptions. IronClad stores immutable message archives and forensic logs. Detailed Key Steps: 1. Ingest MT or MX message through OmniFlow, validate envelope, message type, sender/receiver BIC, and network priority. 2. Parse message fields and validate mandatory fields, currency codes, amounts, value dates, and charges. 3. AegisPay Core validates debtor, creditor, IBAN mod-97 checksum, BIC directory status, LEI where required, and account restrictions. 4. SentinelTrace performs sanctions, PEP, adverse media, and transaction monitoring screening. 5. NexusRoute maps fields between MT and MX. For MT103 to pacs.008, map field 20 to PmtId, 32A to</w:t>
        <w:br/>
        <w:t>Content: PAY-OPS-002.docx</w:t>
        <w:br/>
        <w:t>------------------------------</w:t>
      </w:r>
    </w:p>
    <w:p>
      <w:r>
        <w:t>File: Procedure ID &amp; Title: PAY-OPS-006: FX Settlement, Conversion &amp; Liquidity Allocation Purpose &amp; Scope: Governs foreign exchange quote generation, rate locking, conversion, liquidity allocation, trade confirmation, and settlement across OmniFlow, VaultGuard, NexusRoute, MeridianClear, CobaltSettlement, and IronClad. Applies to spot, forward, swap, and non-deliverable FX used for payment funding, payout, and cross-currency settlement. Applicable Payment Corridors &amp; Networks: SWIFT MT300/MT320, ISO 20022 fxtr.014, pacs.008, pacs.009, camt.053, CLS, local RTGS, RTP, ACH, Fedwire, CHIPS, and correspondent banking rails. Invented Processing Systems &amp; Architecture: VaultGuard sources rates and manages funding pools; NexusRoute performs field mapping and operator selection; MeridianClear sequences settlement and netting; CobaltSettlement matches confirmations and exceptions; IronClad archives immutable FX audit trails. Detailed Key Steps: 1. Ingest FX request via OmniFlow and validate counterparty, account, and corridor in AegisPay Core. 2. VaultGuard obtains multi-source rates, applies spread, and locks quote with idempotency key. 3. NexusRoute maps to fxtr.014 or pacs.008, validates BIC/IBAN, and selects settlement rail. 4. MeridianClear allocates liquidity to the correct currency pool and checks intraday limits. 5. Execute settlement via CLS, correspondent, or local RTGS; generate MT300/MT320 or ISO 20022 confirmation. 6. CobaltSettlement reconciles confirmations, camt.053 statements, and nostro/vostro positions. 7. IronClad writes forensic log and retains rate source, quote ID, and settlement evidence. Bank Account Number Handling: Full account numbers are tokenized in AegisPay Core, masked in UI and logs, encrypted at rest in IronClad, and validated using mod-10 checksum and IBAN/BIC normalization. No full bank account number is written to application logs or webhook payloads. Special</w:t>
        <w:br/>
        <w:t>Content: PAY-OPS-006.docx</w:t>
        <w:br/>
        <w:t>------------------------------</w:t>
      </w:r>
    </w:p>
    <w:p>
      <w:r>
        <w:br/>
        <w:br/>
        <w:t>DISCLAIMER: This is an AI-generated response. The user MUST manually verify this information against the original procedural documents in the source folder before taking operational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