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OperationalRAG Audit Log</w:t>
      </w:r>
    </w:p>
    <w:p>
      <w:pPr>
        <w:pStyle w:val="Heading1"/>
      </w:pPr>
      <w:r>
        <w:t>User Question:</w:t>
      </w:r>
    </w:p>
    <w:p>
      <w:r>
        <w:t>asdasfaf</w:t>
      </w:r>
    </w:p>
    <w:p>
      <w:pPr>
        <w:pStyle w:val="Heading1"/>
      </w:pPr>
      <w:r>
        <w:t>AI Generated Answer:</w:t>
      </w:r>
    </w:p>
    <w:p>
      <w:r>
        <w:t>The notes do not say.</w:t>
      </w:r>
    </w:p>
    <w:p>
      <w:pPr>
        <w:pStyle w:val="Heading1"/>
      </w:pPr>
      <w:r>
        <w:t>Supporting Evidence (Retrieved Chunks):</w:t>
      </w:r>
    </w:p>
    <w:p>
      <w:r>
        <w:t>File: and network confirmations; exceptions queued. Bank Account Number Handling: API requests may include account identifiers only over mTLS and encrypted payloads. AegisPay Core tokenizes and stores references; responses and webhooks return masked identifiers or tokens. No full account numbers in logs, query strings, or webhook payloads. Special Currency Handling: ISO 4217 codes required. VaultGuard provides FX quotes with expiry; expired quotes rejected. Currency-specific decimal precision, rounding, and regulatory reporting applied. Cross-currency APIs must include quote ID and rate lock reference. Escalation Framework: L1 API Support for authentication/schema errors within 15 min. L2 Payment Ops for routing/execution failures within 30 min. L3 Security for suspected API abuse or key compromise within 15 min. L4 Head of Payment Ops/CISO for systemic API outage or data breach immediately. RACI Matrix &amp; Responsible Roles: Responsible: API Operations Engineer, Payment Operations Analyst. Accountable: Head of Payment Operations. Consulted: Security, Compliance, Product, Client Services, Treasury. Informed: Finance, Internal Audit, Executive Committee. Compliance, Regulatory &amp; Audit References: PSD2/Open Banking, GDPR/CCPA, SOC 2, ISO 27001, NIST, OWASP API Security, PCI DSS where card data is in scope, local payment regulations, ISO 20022. System Integration, Data Flow &amp; API/Webhook Touchpoints: OmniFlow REST/JSON and ISO 20022 APIs; AegisPay Core validation API; NexusRoute routing API; SentinelTrace screening API; MeridianClear execution API; CobaltSettlement recon API; IronClad audit API. Webhooks: payment.status, payment.exception, payment.reconciled, fx.quote.expired. SLA, Cut-off Times &amp; Settlement Windows: API availability 99.99%; synchronous response under 500ms; asynchronous processing within 5 min; webhook delivery within 30 seconds of event; retries for 24 hours.</w:t>
        <w:br/>
        <w:t>Content: PAY-OPS-018.docx</w:t>
        <w:br/>
        <w:t>------------------------------</w:t>
      </w:r>
    </w:p>
    <w:p>
      <w:r>
        <w:t>File: misdirected webhook, excessive data retention, cross-border transfer violation, and DSR backlog. IronClad reconciles access logs against approved roles monthly. Version Control, Approval Workflow &amp; Change Management: Version 1.0. Owner: Data Protection Officer. Approvers: Head of Payment Operations, Chief Information Security Officer, Legal Counsel, and Compliance Officer. Changes require privacy impact assessment, data-flow review, UAT, and IronClad change-log entry. Emergency changes require dual approval and retrospective privacy review within 5 business days.</w:t>
        <w:br/>
        <w:t>Content: PAY-OPS-030.docx</w:t>
        <w:br/>
        <w:t>------------------------------</w:t>
      </w:r>
    </w:p>
    <w:p>
      <w:r>
        <w:t>File: Procedure ID &amp; Title: PAY-OPS-020: Advanced Account Validation &amp; IBAN/BIC Normalization Engine Purpose &amp; Scope: Defines validation, normalization, and enrichment of beneficiary account identifiers, including IBAN, BBAN, BIC, national routing numbers, and local account formats. Ensures high straight-through processing and reduces returns, rejects, and misdirected payments. Applicable Payment Corridors &amp; Networks: SEPA, SWIFT, TARGET2/T2, Fedwire, CHIPS, ACH, RTP, FedNow, card payouts, open banking, and local RTGS. Supports global IBAN countries, BIC directories, routing numbers, sort codes, CLABE, IFSC, and other national schemes. Invented Processing Systems &amp; Architecture: OmniFlow captures account data via API/file. AegisPay Core validation engine normalizes and validates. NexusRoute consumes validated data for routing. SentinelTrace screens for fraud. VaultGuard secures sensitive data. IronClad logs validation results. CobaltSettlement feeds return data back to improve rules. Detailed Key Steps: 1. Receive account data via OmniFlow; apply schema validation and encoding normalization. 2. AegisPay Core parses IBAN/BBAN; validate country code, length, and mod-97 checksum. 3. Normalize BIC to ISO 9362; validate against BIC directory and LEI where available. 4. Validate national routing numbers using mod-10/mod-11 checksum and local rules. 5. Perform account name/beneficiary matching where supported; return match score. 6. Enrich with bank name, branch, country, and clearing code. 7. Return validation result codes: VALID, CORRECTED, INVALID, UNKNOWN, REQUIRES_MANUAL. 8. Cache validated hashes with TTL; feed exceptions to CobaltSettlement and rule tuning. Bank Account Number Handling: Full IBAN/account numbers encrypted at rest and in transit. Tokenization in AegisPay Core; only masked values and tokens in UI/logs. Validation service uses memory-safe processing</w:t>
        <w:br/>
        <w:t>Content: PAY-OPS-020.docx</w:t>
        <w:br/>
        <w:t>------------------------------</w:t>
      </w:r>
    </w:p>
    <w:p>
      <w:r>
        <w:t>File: Procedure ID &amp; Title: PAY-OPS-008: Fraud Detection, Transaction Monitoring &amp; Exception Handling Purpose &amp; Scope: Establishes real-time fraud scoring, AML transaction monitoring, sanctions interdiction, anomaly detection, case management, and exception handling for all payment flows. Applicable Payment Corridors &amp; Networks: ACH, RTP, Fedwire, CHIPS, SWIFT, card networks, digital wallets, and cross-border correspondent rails. Invented Processing Systems &amp; Architecture: SentinelTrace performs rules and ML scoring; AegisPay Core validates account and counterparty data; NexusRoute applies holds and routing decisions; IronClad stores forensic evidence and audit logs. Detailed Key Steps: 1. Ingest transaction via OmniFlow and enrich with AegisPay Core master data. 2. SentinelTrace scores transaction in real time using velocity, geo, device, and behavioral rules. 3. Apply sanctions and AML screening; if hit, place hold and create case. 4. Route clear transactions through NexusRoute; hold suspicious transactions for review. 5. Investigate alerts, document disposition, and release or block. 6. File SAR/STR where required and update case in IronClad. 7. Reconcile held, released, and blocked transactions daily. Bank Account Number Handling: Account numbers are hashed or tokenized for analytics, masked in alerts, and encrypted in IronClad. Full account numbers are restricted to authorized fraud investigators and never exposed in webhooks or dashboards. Special Currency Handling: High-risk jurisdictions and restricted currencies trigger enhanced due diligence. Zero-decimal and three-decimal currencies are normalized for scoring. Crypto-linked or NDF corridors require additional compliance review. Escalation Framework: Tier 1 Fraud Analyst handles standard alerts; Tier 2 Fraud Lead and AML Officer handle high-risk cases; Tier 3 Head of</w:t>
        <w:br/>
        <w:t>Content: PAY-OPS-008.docx</w:t>
        <w:br/>
        <w:t>------------------------------</w:t>
      </w:r>
    </w:p>
    <w:p>
      <w:r>
        <w:t>File: mapped in AegisPay Core. Sweep instructions reference tokenized account IDs; clear-text bank details are restricted to Treasury and masked in reporting. Special Currency Handling: Multi-currency pooling requires separate currency sub-pools or FX-converted notional pools. Restricted currencies, capital-controlled currencies, and non-convertible currencies are excluded unless approved by Treasury and Compliance. Escalation Framework: Tier 1 Treasury Operations handles sweep failures; Tier 2 Liquidity Desk handles funding shortfalls; Tier 3 Treasurer/CFO handles facility drawdowns; Compliance handles regulatory reserve or capital-control issues; Risk handles counterparty exposure. RACI Matrix &amp; Responsible Roles: Responsible: Treasury Operations, Liquidity Desk. Accountable: Corporate Treasurer. Consulted: Finance, Compliance, Tax, Payment Operations. Informed: Audit, Executive Committee. Compliance, Regulatory &amp; Audit References: Internal treasury policy, transfer pricing and tax rules, regulatory reserves, liquidity coverage ratio where applicable, BSA/AML, OFAC, local cash-pooling regulations. System Integration, Data Flow &amp; API/Webhook Touchpoints: POST /v1/treasury/sweeps, POST /v1/liquidity/positions, GET /v1/pools/{id}; webhooks sweep.executed, liquidity.threshold.breached, pool.reconciled; bank statement feeds; IronClad audit trail. SLA, Cut-off Times &amp; Settlement Windows: Intraday position refresh every 15 minutes; sweep execution within 30 minutes of trigger; funding cut-off aligned to payment rail cut-offs; end-of-day pool reconciliation by 20:00 local time. Risk Controls, Exception Handling &amp; Reconciliation: Segregation of duties, dual approval for sweeps, counterparty limits, overdraft controls, FX exposure limits, automated reconciliation, exception escalation, audit logging. Version Control, Approval Workflow &amp; Change Management: Version 1.0; owner Corporate Treasurer; approvers Finance, Compliance, Risk; changes require treasury committee approval, UAT, and CAB review.</w:t>
        <w:br/>
        <w:t>Content: PAY-OPS-024.docx</w:t>
        <w:br/>
        <w:t>------------------------------</w:t>
      </w:r>
    </w:p>
    <w:p>
      <w:r>
        <w:br/>
        <w:br/>
        <w:t>DISCLAIMER: This is an AI-generated response. The user MUST manually verify this information against the original procedural documents in the source folder before taking operational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