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00"/>
        <w:pBdr>
          <w:bottom w:val="single" w:sz="12" w:color="1A1A1A"/>
        </w:pBdr>
      </w:pPr>
      <w:r>
        <w:rPr>
          <w:rFonts w:ascii="Microsoft YaHei UI" w:hAnsi="Microsoft YaHei UI" w:eastAsia="Microsoft YaHei UI"/>
          <w:b/>
          <w:color w:val="1A1A1A"/>
          <w:sz w:val="44"/>
        </w:rPr>
        <w:t>D. AI 项目投资回报（ROI）测算模板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**用途**：集团所有 AI 项目的"算账"统一模板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**核心原则**：不为 AI 而 AI · 不烧钱 · 不脱实向虚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**生成时间**：2026-07-07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**版本**：v1.0 草案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一、使用说明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1.1 适用场景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任何 AI 项目立项前必须填本模板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任何 AI 项目阶段性评估必须更新本模板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任何 AI 项目结项必须用本模板复盘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1.2 必填项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项目基本信息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投入明细（一次性 / 持续性 / 显性 / 隐性）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收益明细（直接 / 间接 / 短期 / 长期）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风险评估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决策建议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1.3 责任人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填表人：项目负责人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审核人：产业发展部 + 财务部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决策人：班子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二、模板主体（Excel 友好）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2.1 项目基本信息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填写说明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项目编号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PRJ-YYYY-NNN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自动生成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项目名称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文本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必填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项目类别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枚举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见下方分类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立项日期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YYYY-MM-DD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必填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项目负责人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文本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必填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业务部门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文本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必填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实施周期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月数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必填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适用范围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单店 / 多店 / 全集团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必填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项目描述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文本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200 字以内</w:t>
            </w:r>
          </w:p>
        </w:tc>
      </w:tr>
    </w:tbl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项目类别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智能客服 / 智能定价 / 智能排班 / 智能能耗 / 智能营销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数据分析 / 客户洞察 / 评论分析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流程自动化 / RPA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大模型应用 / Agent 应用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数据治理 / 数据中台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其他（请说明）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2.2 投入明细（Year 1）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投入类别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金额（万）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**一次性投入**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软件采购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商用软件许可证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硬件采购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服务器 / 终端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项目实施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咨询 + 部署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数据准备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数据清洗 + 标注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**小计**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**持续性投入（年）**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算力 / 云服务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大模型 API / 云服务器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维护 / 升级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日常运维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人力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团队人力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培训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用户培训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**小计**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**隐性投入**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业务部门时间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业务配合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机会成本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错失其他项目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**小计**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**总投入**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**Year 1 总投入**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= 一次性 + 持续性 + 隐性</w:t>
            </w:r>
          </w:p>
        </w:tc>
      </w:tr>
    </w:tbl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注：所有"软"投入也要算（如业务部门时间）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2.3 收益明细（Year 1）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收益类别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金额（万）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**直接收益**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人力节省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替代/减少人力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收入提升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增销 / 复购 / 提价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成本降低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物料 / 能源 / 营销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**小计**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**间接收益**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决策质量提升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数据驱动决策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客户满意度提升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评分 / 复购率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品牌价值提升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数字化品牌形象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**小计**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估值或定性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**长期收益**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战略卡位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行业先发优势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能力沉淀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可复用 AI 能力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生态效应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上下游带动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**小计**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估值或定性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**总收益**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**Year 1 总收益**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= 直接 + 间接 + 长期</w:t>
            </w:r>
          </w:p>
        </w:tc>
      </w:tr>
    </w:tbl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注：间接/长期收益要量化（保守值 / 中位值 / 乐观值）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2.4 投资回报计算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计算公式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净收益（Year 1）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= 总收益 - 总投入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投资回报率（ROI）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= 净收益 / 总投入 × 100%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投资回本期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= 总投入 / 年化净收益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月数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 年总收益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= 累计 5 年收益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假设前 1 年爬坡 + 2-3 年稳定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 年总投入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= 累计 5 年投入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假设持续性投入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 年净收益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= 5 年总收益 - 5 年总投入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 年 ROI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= 5 年净收益 / 5 年总投入 × 100%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2.5 敏感性分析（5 档）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情景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收益调整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投入调整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净收益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ROI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决策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极保守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50%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100%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不投 / 慎投</w:t>
            </w:r>
          </w:p>
        </w:tc>
      </w:tr>
      <w:tr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保守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75%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100%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试点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中性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100%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100%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立项（基准）</w:t>
            </w:r>
          </w:p>
        </w:tc>
      </w:tr>
      <w:tr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乐观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125%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110%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加快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极乐观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150%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120%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加码</w:t>
            </w:r>
          </w:p>
        </w:tc>
      </w:tr>
    </w:tbl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注：核心是"如果项目只实现 50% 效果，ROI 是否仍为正" — 是则可投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三、风险评估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3.1 风险矩阵（4 维）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风险类别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严重度（1-5）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概率（1-5）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风险值</w:t>
            </w:r>
          </w:p>
        </w:tc>
        <w:tc>
          <w:tcPr>
            <w:tcW w:type="dxa" w:w="1569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**技术风险**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算法效果不达预期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算法选型 + 试点验证</w:t>
            </w:r>
          </w:p>
        </w:tc>
      </w:tr>
      <w:tr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系统集成困难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API 设计 + 兼容性测试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数据质量差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数据治理前置</w:t>
            </w:r>
          </w:p>
        </w:tc>
      </w:tr>
      <w:tr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**业务风险**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业务部门不配合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高层挂帅 + 业务主导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业务人员抵触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培训 + 激励机制</w:t>
            </w:r>
          </w:p>
        </w:tc>
      </w:tr>
      <w:tr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客户不接受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小范围试点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**财务风险**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投入超预算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阶段评估 + 止损机制</w:t>
            </w:r>
          </w:p>
        </w:tc>
      </w:tr>
      <w:tr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收益不达预期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保守测算 + 备份方案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算力成本失控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算力合同控制</w:t>
            </w:r>
          </w:p>
        </w:tc>
      </w:tr>
      <w:tr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**组织风险**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关键人才流失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团队备份 + 知识沉淀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项目责任不清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明确 RACI</w:t>
            </w:r>
          </w:p>
        </w:tc>
      </w:tr>
      <w:tr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跨部门协调难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项目经理制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**合规风险**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数据安全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国密算法 + 权限管理</w:t>
            </w:r>
          </w:p>
        </w:tc>
      </w:tr>
      <w:tr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隐私保护</w:t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数据脱敏 + 合规审查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知识产权</w:t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56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法务审核 + 专利布局</w:t>
            </w:r>
          </w:p>
        </w:tc>
      </w:tr>
    </w:tbl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风险值 = 严重度 × 概率（&gt; 15 红色 / 10-15 黄色 / &lt; 10 绿色）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3.2 退出机制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止损线</w:t>
      </w:r>
      <w:r>
        <w:rPr>
          <w:rFonts w:ascii="Microsoft YaHei UI" w:hAnsi="Microsoft YaHei UI" w:eastAsia="Microsoft YaHei UI"/>
          <w:sz w:val="21"/>
        </w:rPr>
        <w:t>：项目 ROI 持续 6 个月 &lt; 50% 预期 → 启动退出评估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退出方式</w:t>
      </w:r>
      <w:r>
        <w:rPr>
          <w:rFonts w:ascii="Microsoft YaHei UI" w:hAnsi="Microsoft YaHei UI" w:eastAsia="Microsoft YaHei UI"/>
          <w:sz w:val="21"/>
        </w:rPr>
        <w:t>：暂停 / 缩范围 / 转型 / 完全终止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退出成本</w:t>
      </w:r>
      <w:r>
        <w:rPr>
          <w:rFonts w:ascii="Microsoft YaHei UI" w:hAnsi="Microsoft YaHei UI" w:eastAsia="Microsoft YaHei UI"/>
          <w:sz w:val="21"/>
        </w:rPr>
        <w:t>：已投入沉没成本 + 退出额外成本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退出责任人</w:t>
      </w:r>
      <w:r>
        <w:rPr>
          <w:rFonts w:ascii="Microsoft YaHei UI" w:hAnsi="Microsoft YaHei UI" w:eastAsia="Microsoft YaHei UI"/>
          <w:sz w:val="21"/>
        </w:rPr>
        <w:t>：立项时明确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四、决策建议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4.1 立项决策矩阵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评分（1-5）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加权得分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战略匹配度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25%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业务价值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25%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技术可行性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20%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财务回报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20%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风险可控性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10%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**加权总分**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**100%**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决策规则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≥ 4.0</w:t>
      </w:r>
      <w:r>
        <w:rPr>
          <w:rFonts w:ascii="Microsoft YaHei UI" w:hAnsi="Microsoft YaHei UI" w:eastAsia="Microsoft YaHei UI"/>
          <w:sz w:val="21"/>
        </w:rPr>
        <w:t>：必投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3.0-3.9</w:t>
      </w:r>
      <w:r>
        <w:rPr>
          <w:rFonts w:ascii="Microsoft YaHei UI" w:hAnsi="Microsoft YaHei UI" w:eastAsia="Microsoft YaHei UI"/>
          <w:sz w:val="21"/>
        </w:rPr>
        <w:t>：可投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2.0-2.9</w:t>
      </w:r>
      <w:r>
        <w:rPr>
          <w:rFonts w:ascii="Microsoft YaHei UI" w:hAnsi="Microsoft YaHei UI" w:eastAsia="Microsoft YaHei UI"/>
          <w:sz w:val="21"/>
        </w:rPr>
        <w:t>：慎投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&lt; 2.0</w:t>
      </w:r>
      <w:r>
        <w:rPr>
          <w:rFonts w:ascii="Microsoft YaHei UI" w:hAnsi="Microsoft YaHei UI" w:eastAsia="Microsoft YaHei UI"/>
          <w:sz w:val="21"/>
        </w:rPr>
        <w:t>：不投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4.2 立项建议模板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项目名称：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建议：必投 / 可投 / 慎投 / 不投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理由（3-5 条）：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1.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2.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3.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立项条件：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- 预算上限：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- 试点范围：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- 评估周期：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- 退出条件：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责任人签字：___________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日期：___________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五、6 个 AI 项目测算示例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示例 1：动态定价 Agent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一次性投入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软件 50 + 实施 30 + 数据 20 = 100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持续性投入（年）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算力 30 + 维护 20 + 人力 80 + 培训 20 = 150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总投入（Year 1）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250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直接收益（年）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RevPAR +5% × 167 家 × 1500 万/家 × 50% = 6300 万 × 0.05 = 315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间接收益（年）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决策效率提升 = 50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长期收益（年）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行业先发 = 100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总收益（Year 1）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465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净收益（Year 1）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215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ROI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86%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回本周期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7 个月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建议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**必投**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示例 2：智能客服 Agent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一次性投入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软件 80 + 实施 50 + 数据 30 = 160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持续性投入（年）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算力 100 + 维护 30 + 人力 60 + 培训 20 = 210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总投入（Year 1）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370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直接收益（年）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替代 50% 客服人力 × 100 人 × 8 万 = 400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间接收益（年）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客户满意度提升 = 30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长期收益（年）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数据沉淀 = 20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总收益（Year 1）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450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净收益（Year 1）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80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ROI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22%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回本周期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10 个月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建议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**可投**（需控制算力成本）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示例 3：能耗优化 Agent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一次性投入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硬件 500 + 软件 100 + 实施 200 + 数据 50 = 850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持续性投入（年）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算力 30 + 维护 50 + 人力 40 = 120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总投入（Year 1）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970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直接收益（年）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能耗 -10% × 167 家 × 500 万/家 × 30% 电费 = 167 × 500 × 0.3 × 0.1 = 250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间接收益（年）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碳排放达标 = 50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长期收益（年）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ESG 估值 = 100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总收益（Year 1）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400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净收益（Year 1）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-570 万（亏损）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 年总收益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250 × 5 + 100 = 1350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 年总投入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850 + 120 × 5 = 1450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 年净收益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-100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建议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**慎投**（硬件投入大，5 年回本勉强）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示例 4：智能排班 Agent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一次性投入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软件 30 + 实施 20 + 数据 10 = 60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持续性投入（年）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算力 20 + 维护 10 + 人力 40 = 70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总投入（Year 1）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130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直接收益（年）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人效提升 5% × 167 家 × 100 人 × 6 万 = 500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间接收益（年）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员工满意度 = 30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长期收益（年）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管理标准化 = 20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总收益（Year 1）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550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净收益（Year 1）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420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ROI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323%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回本周期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 个月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建议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**必投**（高 ROI）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示例 5：评论分析 Agent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一次性投入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软件 20 + 实施 10 + 数据 5 = 35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持续性投入（年）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算力 10 + 维护 5 + 人力 20 = 35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总投入（Year 1）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70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直接收益（年）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服务改进减少差评 × 167 家 × 50 万/家 × 2% = 170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间接收益（年）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决策支持 = 30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长期收益（年）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客户洞察 = 20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总收益（Year 1）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220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净收益（Year 1）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150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ROI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214%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回本周期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 个月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建议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**必投**（高 ROI）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示例 6：通用大模型应用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一次性投入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软件 200 + 实施 100 + 数据 50 = 350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持续性投入（年）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算力 500 + 维护 50 + 人力 100 + 培训 50 = 700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总投入（Year 1）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1050 万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直接收益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不明确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间接收益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不明确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长期收益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不明确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总收益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0（无法量化）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净收益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-1050 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建议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**不投**（参考字节 80 亿推理成本教训，无明确商业化路径不投）</w:t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六、AI 项目组合管理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6.1 组合策略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项目类型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必投（高 ROI）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50%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动态定价 / 智能排班 / 评论分析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可投（中 ROI）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30%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智能客服 / 智能营销 / 客诉预判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慎投（需试点）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15%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能耗优化 / 数据中台 / 数据资产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不投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5%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通用大模型应用 / 元宇宙 / 数字人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6.2 组合管理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季度组合评审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单项目独立 ROI 评估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组合协同效应评估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资源动态调配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6.3 风险分散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不把所有 AI 预算压在 1-2 个项目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至少 3-5 个项目并行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项目之间不能强依赖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七、跟踪与复盘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7.1 跟踪机制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周报</w:t>
      </w:r>
      <w:r>
        <w:rPr>
          <w:rFonts w:ascii="Microsoft YaHei UI" w:hAnsi="Microsoft YaHei UI" w:eastAsia="Microsoft YaHei UI"/>
          <w:sz w:val="21"/>
        </w:rPr>
        <w:t>：项目进度 + 关键指标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月报</w:t>
      </w:r>
      <w:r>
        <w:rPr>
          <w:rFonts w:ascii="Microsoft YaHei UI" w:hAnsi="Microsoft YaHei UI" w:eastAsia="Microsoft YaHei UI"/>
          <w:sz w:val="21"/>
        </w:rPr>
        <w:t>：投入 vs 预算 + 收益 vs 预期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季报</w:t>
      </w:r>
      <w:r>
        <w:rPr>
          <w:rFonts w:ascii="Microsoft YaHei UI" w:hAnsi="Microsoft YaHei UI" w:eastAsia="Microsoft YaHei UI"/>
          <w:sz w:val="21"/>
        </w:rPr>
        <w:t>：项目组合评审 + 调整建议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年报</w:t>
      </w:r>
      <w:r>
        <w:rPr>
          <w:rFonts w:ascii="Microsoft YaHei UI" w:hAnsi="Microsoft YaHei UI" w:eastAsia="Microsoft YaHei UI"/>
          <w:sz w:val="21"/>
        </w:rPr>
        <w:t>：年度复盘 + 下一年规划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7.2 复盘机制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立项后 3 个月：</w:t>
      </w:r>
      <w:r>
        <w:rPr>
          <w:rFonts w:ascii="Microsoft YaHei UI" w:hAnsi="Microsoft YaHei UI" w:eastAsia="Microsoft YaHei UI"/>
          <w:b/>
          <w:sz w:val="21"/>
        </w:rPr>
        <w:t>早期复盘</w:t>
      </w:r>
      <w:r>
        <w:rPr>
          <w:rFonts w:ascii="Microsoft YaHei UI" w:hAnsi="Microsoft YaHei UI" w:eastAsia="Microsoft YaHei UI"/>
          <w:sz w:val="21"/>
        </w:rPr>
        <w:t>（是否继续）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立项后 6 个月：</w:t>
      </w:r>
      <w:r>
        <w:rPr>
          <w:rFonts w:ascii="Microsoft YaHei UI" w:hAnsi="Microsoft YaHei UI" w:eastAsia="Microsoft YaHei UI"/>
          <w:b/>
          <w:sz w:val="21"/>
        </w:rPr>
        <w:t>中期复盘</w:t>
      </w:r>
      <w:r>
        <w:rPr>
          <w:rFonts w:ascii="Microsoft YaHei UI" w:hAnsi="Microsoft YaHei UI" w:eastAsia="Microsoft YaHei UI"/>
          <w:sz w:val="21"/>
        </w:rPr>
        <w:t>（是否扩大）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立项后 12 个月：</w:t>
      </w:r>
      <w:r>
        <w:rPr>
          <w:rFonts w:ascii="Microsoft YaHei UI" w:hAnsi="Microsoft YaHei UI" w:eastAsia="Microsoft YaHei UI"/>
          <w:b/>
          <w:sz w:val="21"/>
        </w:rPr>
        <w:t>年度复盘</w:t>
      </w:r>
      <w:r>
        <w:rPr>
          <w:rFonts w:ascii="Microsoft YaHei UI" w:hAnsi="Microsoft YaHei UI" w:eastAsia="Microsoft YaHei UI"/>
          <w:sz w:val="21"/>
        </w:rPr>
        <w:t>（是否升级或终止）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立项后 24 个月：</w:t>
      </w:r>
      <w:r>
        <w:rPr>
          <w:rFonts w:ascii="Microsoft YaHei UI" w:hAnsi="Microsoft YaHei UI" w:eastAsia="Microsoft YaHei UI"/>
          <w:b/>
          <w:sz w:val="21"/>
        </w:rPr>
        <w:t>长期复盘</w:t>
      </w:r>
      <w:r>
        <w:rPr>
          <w:rFonts w:ascii="Microsoft YaHei UI" w:hAnsi="Microsoft YaHei UI" w:eastAsia="Microsoft YaHei UI"/>
          <w:sz w:val="21"/>
        </w:rPr>
        <w:t>（是否成为标准）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7.3 复盘模板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项目名称：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复盘时段：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投入实际 vs 预算：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收益实际 vs 预期：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差距分析：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原因（3-5 条）：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1.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2.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3.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学习（3-5 条）：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1.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2.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3.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下一步：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- 继续：投入 + 项目 + 时间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- 扩大：投入 + 项目 + 时间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- 转型：方向 + 项目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- 终止：止损 + 沉淀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责任人签字：___________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日期：___________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八、配套表格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8.1 项目立项表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项目编号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项目名称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项目类别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立项日期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项目负责人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业务部门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实施周期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适用范围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项目描述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投入预算（Year 1）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预期收益（Year 1）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预期 ROI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建议决策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班子决议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上会日期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8.2 项目跟踪表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投入累计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预算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偏差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收益累计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偏差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8.3 项目组合表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投入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ROI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处置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九、关键原则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9.1 算账原则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算账优先</w:t>
      </w:r>
      <w:r>
        <w:rPr>
          <w:rFonts w:ascii="Microsoft YaHei UI" w:hAnsi="Microsoft YaHei UI" w:eastAsia="Microsoft YaHei UI"/>
          <w:sz w:val="21"/>
        </w:rPr>
        <w:t xml:space="preserve"> — 每个项目必须有 ROI 测算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保守测算</w:t>
      </w:r>
      <w:r>
        <w:rPr>
          <w:rFonts w:ascii="Microsoft YaHei UI" w:hAnsi="Microsoft YaHei UI" w:eastAsia="Microsoft YaHei UI"/>
          <w:sz w:val="21"/>
        </w:rPr>
        <w:t xml:space="preserve"> — 宁可低估收益，不要高估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全成本</w:t>
      </w:r>
      <w:r>
        <w:rPr>
          <w:rFonts w:ascii="Microsoft YaHei UI" w:hAnsi="Microsoft YaHei UI" w:eastAsia="Microsoft YaHei UI"/>
          <w:sz w:val="21"/>
        </w:rPr>
        <w:t xml:space="preserve"> — 显性 + 隐性 + 机会成本都要算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退出机制</w:t>
      </w:r>
      <w:r>
        <w:rPr>
          <w:rFonts w:ascii="Microsoft YaHei UI" w:hAnsi="Microsoft YaHei UI" w:eastAsia="Microsoft YaHei UI"/>
          <w:sz w:val="21"/>
        </w:rPr>
        <w:t xml:space="preserve"> — 任何项目都要预设退出条件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持续跟踪</w:t>
      </w:r>
      <w:r>
        <w:rPr>
          <w:rFonts w:ascii="Microsoft YaHei UI" w:hAnsi="Microsoft YaHei UI" w:eastAsia="Microsoft YaHei UI"/>
          <w:sz w:val="21"/>
        </w:rPr>
        <w:t xml:space="preserve"> — 投入 / 收益 持续跟踪，及时调整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9.2 红线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不为 AI 而 AI（业务价值驱动）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不烧钱（任何项目必须有 ROI）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不脱实向虚（必须落地到具体业务）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不照搬互联网模式（考虑集团实际）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不孤立看待单个项目（看组合）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不承诺必成功（任何项目都有失败可能）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十、参考案例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10.1 字节 80 亿推理成本教训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2025 年字节 AI 推理成本 &gt; 80 亿元</w:t>
      </w:r>
      <w:r>
        <w:rPr>
          <w:rFonts w:ascii="Microsoft YaHei UI" w:hAnsi="Microsoft YaHei UI" w:eastAsia="Microsoft YaHei UI"/>
          <w:sz w:val="21"/>
        </w:rPr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2026-04 内部砍 30% AI 应用项目</w:t>
      </w:r>
      <w:r>
        <w:rPr>
          <w:rFonts w:ascii="Microsoft YaHei UI" w:hAnsi="Microsoft YaHei UI" w:eastAsia="Microsoft YaHei UI"/>
          <w:sz w:val="21"/>
        </w:rPr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教训：通用 C 端 AI 商业化困难，</w:t>
      </w:r>
      <w:r>
        <w:rPr>
          <w:rFonts w:ascii="Microsoft YaHei UI" w:hAnsi="Microsoft YaHei UI" w:eastAsia="Microsoft YaHei UI"/>
          <w:b/>
          <w:sz w:val="21"/>
        </w:rPr>
        <w:t>必须先算账再投入</w:t>
      </w:r>
      <w:r>
        <w:rPr>
          <w:rFonts w:ascii="Microsoft YaHei UI" w:hAnsi="Microsoft YaHei UI" w:eastAsia="Microsoft YaHei UI"/>
          <w:sz w:val="21"/>
        </w:rPr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10.2 阿里千问开放模式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2026 全面开放 Agent 生态</w:t>
      </w:r>
      <w:r>
        <w:rPr>
          <w:rFonts w:ascii="Microsoft YaHei UI" w:hAnsi="Microsoft YaHei UI" w:eastAsia="Microsoft YaHei UI"/>
          <w:sz w:val="21"/>
        </w:rPr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模式：让别人做应用，自己做平台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启示：</w:t>
      </w:r>
      <w:r>
        <w:rPr>
          <w:rFonts w:ascii="Microsoft YaHei UI" w:hAnsi="Microsoft YaHei UI" w:eastAsia="Microsoft YaHei UI"/>
          <w:b/>
          <w:sz w:val="21"/>
        </w:rPr>
        <w:t>开放生态 &gt; 自己做</w:t>
      </w:r>
      <w:r>
        <w:rPr>
          <w:rFonts w:ascii="Microsoft YaHei UI" w:hAnsi="Microsoft YaHei UI" w:eastAsia="Microsoft YaHei UI"/>
          <w:sz w:val="21"/>
        </w:rPr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10.3 苹果 HomeKit 协议模式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模式：智能家居互联协议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启示：</w:t>
      </w:r>
      <w:r>
        <w:rPr>
          <w:rFonts w:ascii="Microsoft YaHei UI" w:hAnsi="Microsoft YaHei UI" w:eastAsia="Microsoft YaHei UI"/>
          <w:b/>
          <w:sz w:val="21"/>
        </w:rPr>
        <w:t>做协议 &gt; 做产品</w:t>
      </w:r>
      <w:r>
        <w:rPr>
          <w:rFonts w:ascii="Microsoft YaHei UI" w:hAnsi="Microsoft YaHei UI" w:eastAsia="Microsoft YaHei UI"/>
          <w:sz w:val="21"/>
        </w:rPr>
      </w:r>
    </w:p>
    <w:p>
      <w:pPr>
        <w:spacing w:before="120" w:after="120"/>
        <w:pBdr>
          <w:bottom w:val="single" w:sz="6" w:color="CCCCCC"/>
        </w:pBdr>
      </w:pP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生成时间</w:t>
      </w:r>
      <w:r>
        <w:rPr>
          <w:rFonts w:ascii="Microsoft YaHei UI" w:hAnsi="Microsoft YaHei UI" w:eastAsia="Microsoft YaHei UI"/>
          <w:sz w:val="21"/>
        </w:rPr>
        <w:t>：2026-07-07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版本</w:t>
      </w:r>
      <w:r>
        <w:rPr>
          <w:rFonts w:ascii="Microsoft YaHei UI" w:hAnsi="Microsoft YaHei UI" w:eastAsia="Microsoft YaHei UI"/>
          <w:sz w:val="21"/>
        </w:rPr>
        <w:t>：v1.0 草案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使用者</w:t>
      </w:r>
      <w:r>
        <w:rPr>
          <w:rFonts w:ascii="Microsoft YaHei UI" w:hAnsi="Microsoft YaHei UI" w:eastAsia="Microsoft YaHei UI"/>
          <w:sz w:val="21"/>
        </w:rPr>
        <w:t>：Eric 本人 · 产业发展部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严禁外传</w:t>
      </w:r>
      <w:r>
        <w:rPr>
          <w:rFonts w:ascii="Microsoft YaHei UI" w:hAnsi="Microsoft YaHei UI" w:eastAsia="Microsoft YaHei UI"/>
          <w:sz w:val="21"/>
        </w:rPr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color w:val="555555"/>
          <w:sz w:val="21"/>
        </w:rPr>
        <w:t>工作愉快</w:t>
      </w:r>
      <w:r>
        <w:rPr>
          <w:rFonts w:ascii="Microsoft YaHei UI" w:hAnsi="Microsoft YaHei UI" w:eastAsia="Microsoft YaHei UI"/>
          <w:sz w:val="21"/>
        </w:rPr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