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kern w:val="2"/>
          <w:sz w:val="36"/>
          <w:szCs w:val="36"/>
        </w:rPr>
        <w:t>管理手册</w:t>
      </w: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  <w:r>
        <w:rPr>
          <w:rFonts w:hint="eastAsia" w:ascii="微软雅黑" w:hAnsi="微软雅黑" w:eastAsia="微软雅黑"/>
          <w:b/>
          <w:bCs/>
          <w:kern w:val="2"/>
          <w:sz w:val="32"/>
          <w:szCs w:val="22"/>
        </w:rPr>
        <w:t>市场</w:t>
      </w:r>
      <w:r>
        <w:rPr>
          <w:rFonts w:hint="eastAsia" w:ascii="微软雅黑" w:hAnsi="微软雅黑" w:eastAsia="微软雅黑"/>
          <w:b/>
          <w:bCs/>
          <w:kern w:val="2"/>
          <w:sz w:val="3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b/>
          <w:bCs/>
          <w:kern w:val="2"/>
          <w:sz w:val="32"/>
          <w:szCs w:val="22"/>
        </w:rPr>
        <w:t>部</w:t>
      </w: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</w:p>
    <w:p>
      <w:pPr>
        <w:widowControl w:val="0"/>
        <w:spacing w:line="400" w:lineRule="exact"/>
        <w:jc w:val="center"/>
        <w:rPr>
          <w:rFonts w:ascii="微软雅黑" w:hAnsi="微软雅黑" w:eastAsia="微软雅黑"/>
          <w:b/>
          <w:bCs/>
          <w:kern w:val="2"/>
          <w:sz w:val="32"/>
          <w:szCs w:val="22"/>
        </w:rPr>
      </w:pPr>
      <w:r>
        <w:rPr>
          <w:rFonts w:hint="eastAsia" w:ascii="微软雅黑" w:hAnsi="微软雅黑" w:eastAsia="微软雅黑"/>
          <w:b/>
          <w:bCs/>
          <w:kern w:val="2"/>
          <w:sz w:val="32"/>
          <w:szCs w:val="22"/>
        </w:rPr>
        <w:t>导引</w:t>
      </w:r>
    </w:p>
    <w:p>
      <w:pPr>
        <w:widowControl w:val="0"/>
        <w:rPr>
          <w:rFonts w:ascii="微软雅黑" w:hAnsi="微软雅黑" w:eastAsia="微软雅黑"/>
          <w:b/>
          <w:kern w:val="2"/>
          <w:sz w:val="22"/>
          <w:szCs w:val="22"/>
          <w:u w:val="single"/>
        </w:rPr>
      </w:pPr>
      <w:bookmarkStart w:id="0" w:name="OLE_LINK3"/>
      <w:bookmarkStart w:id="1" w:name="OLE_LINK4"/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</w:rPr>
        <w:t>市场</w:t>
      </w: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  <w:lang w:val="en-US" w:eastAsia="zh-CN"/>
        </w:rPr>
        <w:t>营销</w:t>
      </w: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</w:rPr>
        <w:t>部规定和程序的目的</w:t>
      </w:r>
      <w:bookmarkEnd w:id="0"/>
      <w:bookmarkEnd w:id="1"/>
    </w:p>
    <w:p>
      <w:pPr>
        <w:widowControl w:val="0"/>
        <w:numPr>
          <w:ilvl w:val="0"/>
          <w:numId w:val="1"/>
        </w:numPr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明确集团及其下属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部管理，确保集团内各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酒店的市场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部管理模式和应用的一致性；</w:t>
      </w:r>
    </w:p>
    <w:p>
      <w:pPr>
        <w:widowControl w:val="0"/>
        <w:numPr>
          <w:ilvl w:val="0"/>
          <w:numId w:val="1"/>
        </w:numPr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通过明确的指导原则协助市场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部日常的运作与管理工作；</w:t>
      </w:r>
    </w:p>
    <w:p>
      <w:pPr>
        <w:widowControl w:val="0"/>
        <w:numPr>
          <w:ilvl w:val="0"/>
          <w:numId w:val="1"/>
        </w:numPr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帮助管理层了解市场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的角色和作用。</w:t>
      </w:r>
    </w:p>
    <w:p>
      <w:pPr>
        <w:widowControl w:val="0"/>
        <w:rPr>
          <w:rFonts w:ascii="微软雅黑" w:hAnsi="微软雅黑" w:eastAsia="微软雅黑"/>
          <w:b/>
          <w:kern w:val="2"/>
          <w:sz w:val="22"/>
          <w:szCs w:val="22"/>
          <w:u w:val="single"/>
        </w:rPr>
      </w:pP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</w:rPr>
        <w:t>市场</w:t>
      </w: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  <w:lang w:val="en-US" w:eastAsia="zh-CN"/>
        </w:rPr>
        <w:t>营销</w:t>
      </w: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</w:rPr>
        <w:t>部规定和程序的组成</w:t>
      </w:r>
    </w:p>
    <w:p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政策与程序 </w:t>
      </w:r>
      <w:r>
        <w:rPr>
          <w:rFonts w:hint="eastAsia" w:ascii="微软雅黑" w:hAnsi="微软雅黑" w:eastAsia="微软雅黑"/>
          <w:sz w:val="22"/>
          <w:lang w:val="en-US" w:eastAsia="zh-CN"/>
        </w:rPr>
        <w:t>GMP-</w:t>
      </w:r>
      <w:r>
        <w:rPr>
          <w:rFonts w:ascii="微软雅黑" w:hAnsi="微软雅黑" w:eastAsia="微软雅黑"/>
          <w:sz w:val="22"/>
        </w:rPr>
        <w:t>SM-</w:t>
      </w:r>
      <w:r>
        <w:rPr>
          <w:rFonts w:hint="eastAsia" w:ascii="微软雅黑" w:hAnsi="微软雅黑" w:eastAsia="微软雅黑"/>
          <w:sz w:val="22"/>
        </w:rPr>
        <w:t>P&amp;</w:t>
      </w:r>
      <w:r>
        <w:rPr>
          <w:rFonts w:ascii="微软雅黑" w:hAnsi="微软雅黑" w:eastAsia="微软雅黑"/>
          <w:sz w:val="22"/>
        </w:rPr>
        <w:t>P</w:t>
      </w:r>
    </w:p>
    <w:p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标准化工作流程 </w:t>
      </w:r>
      <w:r>
        <w:rPr>
          <w:rFonts w:hint="eastAsia" w:ascii="微软雅黑" w:hAnsi="微软雅黑" w:eastAsia="微软雅黑"/>
          <w:sz w:val="22"/>
          <w:lang w:val="en-US" w:eastAsia="zh-CN"/>
        </w:rPr>
        <w:t>GMP-</w:t>
      </w:r>
      <w:r>
        <w:rPr>
          <w:rFonts w:ascii="微软雅黑" w:hAnsi="微软雅黑" w:eastAsia="微软雅黑"/>
          <w:sz w:val="22"/>
        </w:rPr>
        <w:t>SM-</w:t>
      </w:r>
      <w:r>
        <w:rPr>
          <w:rFonts w:hint="eastAsia" w:ascii="微软雅黑" w:hAnsi="微软雅黑" w:eastAsia="微软雅黑"/>
          <w:sz w:val="22"/>
        </w:rPr>
        <w:t>SOP</w:t>
      </w:r>
    </w:p>
    <w:p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工作表格 </w:t>
      </w:r>
      <w:r>
        <w:rPr>
          <w:rFonts w:hint="eastAsia" w:ascii="微软雅黑" w:hAnsi="微软雅黑" w:eastAsia="微软雅黑"/>
          <w:sz w:val="22"/>
          <w:lang w:val="en-US" w:eastAsia="zh-CN"/>
        </w:rPr>
        <w:t>GMP-</w:t>
      </w:r>
      <w:r>
        <w:rPr>
          <w:rFonts w:ascii="微软雅黑" w:hAnsi="微软雅黑" w:eastAsia="微软雅黑"/>
          <w:sz w:val="22"/>
        </w:rPr>
        <w:t>SM-</w:t>
      </w:r>
      <w:r>
        <w:rPr>
          <w:rFonts w:hint="eastAsia" w:ascii="微软雅黑" w:hAnsi="微软雅黑" w:eastAsia="微软雅黑"/>
          <w:sz w:val="22"/>
        </w:rPr>
        <w:t>WF</w:t>
      </w:r>
    </w:p>
    <w:p>
      <w:pPr>
        <w:widowControl w:val="0"/>
        <w:ind w:left="-56" w:leftChars="-28"/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集团所制定的市场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部《规定与程序》不会限制各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部在这方面的创造性和灵活性。事实上，各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部应以集团所制定的市场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部《规定与程序》作为基础，制定出本酒店市场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部《规定与程序》。在日常的工作中，各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部可以通过采纳相应的建议，对本酒店市场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部规定与程序进行必要的改进和补充。</w:t>
      </w:r>
    </w:p>
    <w:p>
      <w:pPr>
        <w:widowControl w:val="0"/>
        <w:jc w:val="both"/>
        <w:rPr>
          <w:rFonts w:ascii="微软雅黑" w:hAnsi="微软雅黑" w:eastAsia="微软雅黑"/>
          <w:b/>
          <w:kern w:val="2"/>
          <w:sz w:val="22"/>
          <w:szCs w:val="22"/>
          <w:u w:val="single"/>
        </w:rPr>
      </w:pPr>
      <w:r>
        <w:rPr>
          <w:rFonts w:hint="eastAsia" w:ascii="微软雅黑" w:hAnsi="微软雅黑" w:eastAsia="微软雅黑"/>
          <w:b/>
          <w:kern w:val="2"/>
          <w:sz w:val="22"/>
          <w:szCs w:val="22"/>
          <w:u w:val="single"/>
        </w:rPr>
        <w:t>市场销售部规定和程序的版本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集团颁发的市场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部《规定与程序》应保存在总经理及市场销售总监</w:t>
      </w:r>
      <w:r>
        <w:rPr>
          <w:rFonts w:ascii="微软雅黑" w:hAnsi="微软雅黑" w:eastAsia="微软雅黑"/>
          <w:kern w:val="2"/>
          <w:sz w:val="22"/>
          <w:szCs w:val="22"/>
        </w:rPr>
        <w:t>/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经理办公室，文件的保管人员应做签收，离职时应作为交接内容的一部分转交给接管人员。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一旦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酒店市场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营销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部经报总经理审批同意后，对《规定和程序》做出了补充，应及时将补充的内容送达至总经理办公室以附加在其原有文档内。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2"/>
          <w:szCs w:val="22"/>
        </w:rPr>
        <w:t>此《规定与程序》适用于所有集团下属</w:t>
      </w:r>
      <w:r>
        <w:rPr>
          <w:rFonts w:hint="eastAsia" w:ascii="微软雅黑" w:hAnsi="微软雅黑" w:eastAsia="微软雅黑"/>
          <w:kern w:val="2"/>
          <w:sz w:val="22"/>
          <w:szCs w:val="22"/>
          <w:lang w:val="en-US" w:eastAsia="zh-CN"/>
        </w:rPr>
        <w:t>维景国际</w:t>
      </w:r>
      <w:r>
        <w:rPr>
          <w:rFonts w:hint="eastAsia" w:ascii="微软雅黑" w:hAnsi="微软雅黑" w:eastAsia="微软雅黑"/>
          <w:kern w:val="2"/>
          <w:sz w:val="22"/>
          <w:szCs w:val="22"/>
        </w:rPr>
        <w:t>酒店，且所有人均应视为保密文件保管。</w:t>
      </w:r>
    </w:p>
    <w:p>
      <w:pPr>
        <w:widowControl w:val="0"/>
        <w:jc w:val="center"/>
        <w:rPr>
          <w:rFonts w:ascii="微软雅黑" w:hAnsi="微软雅黑" w:eastAsia="微软雅黑"/>
          <w:b/>
          <w:color w:val="000000"/>
          <w:kern w:val="2"/>
          <w:sz w:val="32"/>
          <w:szCs w:val="22"/>
        </w:rPr>
      </w:pPr>
      <w:r>
        <w:rPr>
          <w:rFonts w:hint="eastAsia" w:ascii="微软雅黑" w:hAnsi="微软雅黑" w:eastAsia="微软雅黑"/>
          <w:b/>
          <w:color w:val="000000"/>
          <w:kern w:val="2"/>
          <w:sz w:val="32"/>
          <w:szCs w:val="22"/>
        </w:rPr>
        <w:t>目录</w:t>
      </w:r>
      <w:r>
        <w:rPr>
          <w:rFonts w:ascii="微软雅黑" w:hAnsi="微软雅黑" w:eastAsia="微软雅黑"/>
          <w:b/>
          <w:color w:val="000000"/>
          <w:kern w:val="2"/>
          <w:sz w:val="32"/>
          <w:szCs w:val="22"/>
        </w:rPr>
        <w:t>Index</w:t>
      </w:r>
    </w:p>
    <w:p>
      <w:pPr>
        <w:widowControl w:val="0"/>
        <w:jc w:val="center"/>
        <w:rPr>
          <w:rFonts w:ascii="微软雅黑" w:hAnsi="微软雅黑" w:eastAsia="微软雅黑"/>
          <w:b/>
          <w:color w:val="000000"/>
          <w:kern w:val="2"/>
          <w:sz w:val="32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1）岗位职责说明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SM-JD-01 市场销售总监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SM-JD-02 秘书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SM-JD-03 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销售总监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SM-JD-04 高级商务销售经理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SM-JD-05 高级宴会销售经理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SM-JD-06 销售经理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SM-JD-07 销售经理（商务）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SM-JD-08 销售经理（旅行社）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SM-JD-09 宴会销售经理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SM-JD-10 宴会销售主任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SM-JD-11 收益管理经理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SM-JD-12 预订主管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SM-JD-13 预订文员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 xml:space="preserve">SM-JD-14 市场公关部经理 </w:t>
      </w:r>
    </w:p>
    <w:p>
      <w:pPr>
        <w:widowControl w:val="0"/>
        <w:jc w:val="both"/>
        <w:rPr>
          <w:rFonts w:ascii="微软雅黑" w:hAnsi="微软雅黑" w:eastAsia="微软雅黑"/>
          <w:color w:val="000000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>SM-JD-15 美工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SM-JD-16 职位描述标准模板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2）合约及档案文件日常管理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SM-P&amp;P-CM-001 签订客户销售合同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SM-P&amp;P-CM-002 长住客合同管理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SM-P&amp;P-CM-003 销售存档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SM-P&amp;P-CM-004 合同分发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SM-SOP-CM-001 客户档案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SM-SOP-CM-002 客户分类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SM-SOP-CM-003 销售档案管理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SM-SOP-CM-004 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市场营销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部各类发文档案管理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SM-SOP-CM-005 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市场营销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部合同、协议档案管理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SM-WF-CM-001 婚宴合同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SM-WF-CM-002 酒店客房长住合同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SM-WF-CM-003 旅行社合作合同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SM-WF-CM-004 商务公司合同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SM-WF-CM-005 内部发文格式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SM-WF-CM-006 综合活动报价单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3）业务拓展及客户关系管理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SM-P&amp;P-BD-001 差旅费用报销及报告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SM-P&amp;P-BD-002 闪电销售拜访（扫楼）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SM-P&amp;P-BD-003 积极销售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SM-P&amp;P-BD-004 业务拓展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SM-P&amp;P-BD-005 客房升级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SM-P&amp;P-BD-006 免费房申请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SM-P&amp;P-BD-007 参观饭店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SM-P&amp;P-BD-008 公务宴请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SM-WF-BD-001 市场营销部客户资料档案模板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SM-WF-BD-002 免费待遇申请单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SM-WF-BD-003 新开发客户产量月统计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SM-WF-BD-004 宴请申请单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4）预订流程管理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SM-SOP-RE-001 确认信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SM-SOP-RE-002 电话占线的处理程序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SM-SOP-RE-003 电话留言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SM-SOP-RE-004 输入客人名字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SM-SOP-RE-005 客史资料管理及整合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SM-SOP-RE-006 接听电话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SM-SOP-RE-007 查看可卖房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SM-SOP-RE-008 承接预订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SM-SOP-RE-009 担保预订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SM-SOP-RE-010 预订未到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SM-SOP-RE-011 更改预订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SM-SOP-RE-012 取消预订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SM-SOP-RE-013 当天预订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SM-SOP-RE-014 中午12点前入住预订（早到）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SM-SOP-RE-015 接送机和租用车服务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SM-SOP-RE-016 特殊要求及跟踪服务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SM-SOP-RE-017 检查第二天预抵客人报表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SM-SOP-RE-018 团队预订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SM-SOP-RE-019 锁房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SM-SOP-RE-020 超额预订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SM-SOP-RE-021 等侯名单和推荐姊妹酒店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SM-SOP-RE-022 处理客人投诉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SM-SOP-RE-023 与订房人建立良好关系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SM-SOP-RE-024 黑名单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SM-SOP-RE-025 预订流程中的信用风险控制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SM-WF-RE-001 信用卡收费授权书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SM-WF-RE-002 预订确认短信模版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SM-WF-RE-003 预订确认函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SM-WF-RE-00</w:t>
      </w:r>
      <w:r>
        <w:rPr>
          <w:rFonts w:ascii="微软雅黑" w:hAnsi="微软雅黑" w:eastAsia="微软雅黑"/>
          <w:kern w:val="2"/>
          <w:sz w:val="24"/>
          <w:szCs w:val="22"/>
        </w:rPr>
        <w:t>4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渠道直连酒店前台系统设置说明文档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SM-WF-RE-00</w:t>
      </w:r>
      <w:r>
        <w:rPr>
          <w:rFonts w:ascii="微软雅黑" w:hAnsi="微软雅黑" w:eastAsia="微软雅黑"/>
          <w:kern w:val="2"/>
          <w:sz w:val="24"/>
          <w:szCs w:val="22"/>
        </w:rPr>
        <w:t>5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市场营销部办公室信息板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SM-WF-RE-00</w:t>
      </w:r>
      <w:r>
        <w:rPr>
          <w:rFonts w:ascii="微软雅黑" w:hAnsi="微软雅黑" w:eastAsia="微软雅黑"/>
          <w:kern w:val="2"/>
          <w:sz w:val="24"/>
          <w:szCs w:val="22"/>
        </w:rPr>
        <w:t>6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中央预订系统操作说明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5）风险管理、信贷管理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SM-P&amp;P-RC-001 房价授权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SM-P&amp;P-RC-002 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酒店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各级人员折扣权限政策 (参考标准)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SM-P&amp;P-RC-003 协议挂账&amp;临时挂账操作程序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SM-WF-RC-001  房价授权临时挂账确认单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SM-WF-RC-002  临时挂账协议申请单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SM-WF-RC-003  信贷申请书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6）会议、团队管理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SM-P&amp;P-MG-001 团队更改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SM-P&amp;P-MG-002 团队取消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SM-P&amp;P-MG-003 团队预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订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金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SM-P&amp;P-MG-004 团队报价跟进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SM-P&amp;P-MG-005 跟进会议活动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SM-P&amp;P-MG-006 会议活动后回访及跟进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SM-P&amp;P-MG-007 竞争酒店调查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SM-WF-MG-001  会议接待检查表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SM-WF-MG-002  宴会指令单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SM-WF-MG-003  会议跟进工作检查表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SM-WF-MG-004  会议-宾客意见反馈表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7）销售团队表现管理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SM-P&amp;P-PM-001 销售团队表现管理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SM-P&amp;P-PM-002 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市场营销部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客房收入月度奖励计划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SM-WF-PM-001 销售经理风云榜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SM-WF-PM-002 销售人员年度评估表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SM-WF-PM-003 销售人员月度销售报告格式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SM-WF-PM-004 销售人员周度销售报告格式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SM-WF-PM-005 两周内酒店销售情况信息栏制作示意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SM-WF-PM-006 个人商业计划 - 中文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SM-WF-PM-007 个人商业计划 - 英文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8）收益管理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SM-P&amp;P-BP-001</w:t>
      </w:r>
      <w:r>
        <w:rPr>
          <w:rFonts w:ascii="微软雅黑" w:hAnsi="微软雅黑" w:eastAsia="微软雅黑"/>
          <w:kern w:val="2"/>
          <w:sz w:val="24"/>
          <w:szCs w:val="22"/>
        </w:rPr>
        <w:t xml:space="preserve"> 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中旅酒店收益管理会议模板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SM-P&amp;P-BP-002 </w:t>
      </w:r>
      <w:r>
        <w:rPr>
          <w:rFonts w:ascii="微软雅黑" w:hAnsi="微软雅黑" w:eastAsia="微软雅黑"/>
          <w:kern w:val="2"/>
          <w:sz w:val="24"/>
          <w:szCs w:val="22"/>
        </w:rPr>
        <w:t>STR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竞争组合变更申请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SM-P&amp;P-BP-00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</w:t>
      </w:r>
      <w:r>
        <w:rPr>
          <w:rFonts w:ascii="微软雅黑" w:hAnsi="微软雅黑" w:eastAsia="微软雅黑"/>
          <w:kern w:val="2"/>
          <w:sz w:val="24"/>
          <w:szCs w:val="22"/>
        </w:rPr>
        <w:t>STR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数据录入标准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SM-P&amp;P-BP-00</w:t>
      </w:r>
      <w:r>
        <w:rPr>
          <w:rFonts w:ascii="微软雅黑" w:hAnsi="微软雅黑" w:eastAsia="微软雅黑"/>
          <w:kern w:val="2"/>
          <w:sz w:val="24"/>
          <w:szCs w:val="22"/>
        </w:rPr>
        <w:t>4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价格一致性标准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SM-P&amp;P-BP-00</w:t>
      </w: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5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中旅酒店价格体系、市场代码、渠道代码使用规定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GMP-SM-SOP-001酒店价格管理规范</w:t>
      </w:r>
      <w:bookmarkStart w:id="2" w:name="_GoBack"/>
      <w:bookmarkEnd w:id="2"/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9</w:t>
      </w:r>
      <w:r>
        <w:rPr>
          <w:rFonts w:hint="eastAsia" w:ascii="微软雅黑" w:hAnsi="微软雅黑" w:eastAsia="微软雅黑"/>
          <w:color w:val="000000"/>
          <w:kern w:val="2"/>
          <w:sz w:val="24"/>
          <w:szCs w:val="22"/>
        </w:rPr>
        <w:t xml:space="preserve">）市场及公关管理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SM-SOP-PR-001 标准信函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SM-SOP-PR-002 媒体资源档案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SM-SOP-PR-003 媒体采访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SM-SOP-PR-004 酒店活动的主办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SM-SOP-PR-005 媒体考察活动的举办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SM-SOP-PR-006 餐饮推广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SM-SOP-PR-007 广告策划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SM-SOP-PR-008 酒店图片库管理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SM-SOP-PR-009 宣传资料库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SM-SOP-PR-010 库存检查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SM-SOP-PR-011 剪报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SM-SOP-PR-012 公关信件格式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SM-SOP-PR-013 设计编号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SM-SOP-PR-014 酒店品牌标识管理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SM-SOP-PR-015 集团品牌标准管理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SM-SOP-PR-016 工作汇报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SM-WF-PR-001 岗位工作质量标准检查表-公关部美工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SM-WF-PR-002 媒体简报模板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SM-WF-PR-003 媒体数据库档案格式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SM-WF-PR-004 美工工作需求单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SM-WF-PR-005 美工设计任务汇总表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SM-WF-PR-006 市场传讯月报模板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ascii="微软雅黑" w:hAnsi="微软雅黑" w:eastAsia="微软雅黑"/>
          <w:kern w:val="2"/>
          <w:sz w:val="24"/>
          <w:szCs w:val="22"/>
        </w:rPr>
        <w:t xml:space="preserve">SM-WF-PR-007 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市场计划模板</w:t>
      </w:r>
      <w:r>
        <w:rPr>
          <w:rFonts w:ascii="微软雅黑" w:hAnsi="微软雅黑" w:eastAsia="微软雅黑"/>
          <w:kern w:val="2"/>
          <w:sz w:val="24"/>
          <w:szCs w:val="22"/>
        </w:rPr>
        <w:t> 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SM-WF-PR-008 邮件正文及签名标准设置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10）“心享”计划管理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中旅酒店“心享”计划相关政策与操作标准P</w:t>
      </w:r>
      <w:r>
        <w:rPr>
          <w:rFonts w:ascii="微软雅黑" w:hAnsi="微软雅黑" w:eastAsia="微软雅黑"/>
          <w:kern w:val="2"/>
          <w:sz w:val="24"/>
          <w:szCs w:val="22"/>
        </w:rPr>
        <w:t xml:space="preserve">&amp;P 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v</w:t>
      </w:r>
      <w:r>
        <w:rPr>
          <w:rFonts w:ascii="微软雅黑" w:hAnsi="微软雅黑" w:eastAsia="微软雅黑"/>
          <w:kern w:val="2"/>
          <w:sz w:val="24"/>
          <w:szCs w:val="22"/>
        </w:rPr>
        <w:t>2.1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附录2《中旅酒店“心享”计划标准工作流程S</w:t>
      </w:r>
      <w:r>
        <w:rPr>
          <w:rFonts w:ascii="微软雅黑" w:hAnsi="微软雅黑" w:eastAsia="微软雅黑"/>
          <w:kern w:val="2"/>
          <w:sz w:val="24"/>
          <w:szCs w:val="22"/>
        </w:rPr>
        <w:t>OP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》-</w:t>
      </w:r>
      <w:r>
        <w:rPr>
          <w:rFonts w:ascii="微软雅黑" w:hAnsi="微软雅黑" w:eastAsia="微软雅黑"/>
          <w:kern w:val="2"/>
          <w:sz w:val="24"/>
          <w:szCs w:val="22"/>
        </w:rPr>
        <w:t>PDF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版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附录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《中旅酒店“心享”计划标准工作表格W</w:t>
      </w:r>
      <w:r>
        <w:rPr>
          <w:rFonts w:ascii="微软雅黑" w:hAnsi="微软雅黑" w:eastAsia="微软雅黑"/>
          <w:kern w:val="2"/>
          <w:sz w:val="24"/>
          <w:szCs w:val="22"/>
        </w:rPr>
        <w:t>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》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附录</w:t>
      </w:r>
      <w:r>
        <w:rPr>
          <w:rFonts w:ascii="微软雅黑" w:hAnsi="微软雅黑" w:eastAsia="微软雅黑"/>
          <w:kern w:val="2"/>
          <w:sz w:val="24"/>
          <w:szCs w:val="22"/>
        </w:rPr>
        <w:t>4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《中旅酒店“心享”计划账单核对操作手册》及附表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附录</w:t>
      </w:r>
      <w:r>
        <w:rPr>
          <w:rFonts w:ascii="微软雅黑" w:hAnsi="微软雅黑" w:eastAsia="微软雅黑"/>
          <w:kern w:val="2"/>
          <w:sz w:val="24"/>
          <w:szCs w:val="22"/>
        </w:rPr>
        <w:t>5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《中旅酒店“心享”会议组织者奖励计划》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附录</w:t>
      </w:r>
      <w:r>
        <w:rPr>
          <w:rFonts w:ascii="微软雅黑" w:hAnsi="微软雅黑" w:eastAsia="微软雅黑"/>
          <w:kern w:val="2"/>
          <w:sz w:val="24"/>
          <w:szCs w:val="22"/>
        </w:rPr>
        <w:t>6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《中旅酒店免费房券结算流程》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11）数字营销管理 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SM-SOP-DM-001 酒店网页内容管理 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GMP-SM-SOP-RE-002 中旅酒店线上直销渠道集团分销员管理（不适用单体酒店分销员申请）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GMP-SM-SOP-RE-003 中旅酒店线上直销渠道后台账号管理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GMP-SM-SOP-RE-004 中旅酒店线上直销渠道对账付款管理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GMP-SM-SOP-RE-005 中旅酒店线上直销渠道异常订单审核管理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GMP-SM-SOP-RE-006 中旅酒店线上直销渠道退款管理</w:t>
      </w:r>
    </w:p>
    <w:p>
      <w:pPr>
        <w:widowControl w:val="0"/>
        <w:jc w:val="both"/>
        <w:rPr>
          <w:rFonts w:hint="eastAsia"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GMP-SM-SOP-RE-007 中旅酒店线上直销渠道协议公司在线预订政策与管理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2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SM-WF-DM-001 酒店资料收集表</w:t>
      </w:r>
    </w:p>
    <w:p>
      <w:pPr>
        <w:spacing w:line="360" w:lineRule="auto"/>
        <w:rPr>
          <w:rFonts w:ascii="新宋体" w:hAnsi="新宋体" w:eastAsia="新宋体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1</w:t>
      </w:r>
      <w:r>
        <w:rPr>
          <w:rFonts w:ascii="微软雅黑" w:hAnsi="微软雅黑" w:eastAsia="微软雅黑"/>
          <w:kern w:val="2"/>
          <w:sz w:val="24"/>
          <w:szCs w:val="22"/>
        </w:rPr>
        <w:t>2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）线上营销管理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SM-SOP-</w:t>
      </w:r>
      <w:r>
        <w:rPr>
          <w:rFonts w:ascii="微软雅黑" w:hAnsi="微软雅黑" w:eastAsia="微软雅黑"/>
          <w:kern w:val="2"/>
          <w:sz w:val="24"/>
          <w:szCs w:val="22"/>
        </w:rPr>
        <w:t>OP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-001 酒店参加集团促销活动工作标准 </w:t>
      </w:r>
    </w:p>
    <w:p>
      <w:pPr>
        <w:spacing w:line="360" w:lineRule="auto"/>
        <w:rPr>
          <w:rFonts w:ascii="新宋体" w:hAnsi="新宋体" w:eastAsia="新宋体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</w:rPr>
        <w:t>1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）分销管理 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P&amp;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M-001 渠道合作管理及维护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P&amp;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2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渠道直连运营管理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P&amp;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渠道直连运营检测指标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P&amp;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4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商旅合作协议模板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P&amp;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5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关于第三方分销渠道相关运营及价格一致性规范的通知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SO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M-001 分销渠道直连产品上下线程序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SO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2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分销渠道直连产品价格变更程序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SO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P-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分销直连S</w:t>
      </w:r>
      <w:r>
        <w:rPr>
          <w:rFonts w:ascii="微软雅黑" w:hAnsi="微软雅黑" w:eastAsia="微软雅黑"/>
          <w:kern w:val="2"/>
          <w:sz w:val="24"/>
          <w:szCs w:val="22"/>
        </w:rPr>
        <w:t>OP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指南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1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携程新直连表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2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美团渠道直连数据上线信息表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3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缤客网直连设置表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4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红色加力直连数据上线信息表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5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</w:t>
      </w:r>
      <w:r>
        <w:rPr>
          <w:rFonts w:ascii="微软雅黑" w:hAnsi="微软雅黑" w:eastAsia="微软雅黑"/>
          <w:kern w:val="2"/>
          <w:sz w:val="24"/>
          <w:szCs w:val="22"/>
        </w:rPr>
        <w:t>HCD H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otel</w:t>
      </w:r>
      <w:r>
        <w:rPr>
          <w:rFonts w:ascii="微软雅黑" w:hAnsi="微软雅黑" w:eastAsia="微软雅黑"/>
          <w:kern w:val="2"/>
          <w:sz w:val="24"/>
          <w:szCs w:val="22"/>
        </w:rPr>
        <w:t xml:space="preserve"> Info-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其他直连渠道通用直连表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6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</w:t>
      </w:r>
      <w:r>
        <w:rPr>
          <w:rFonts w:ascii="微软雅黑" w:hAnsi="微软雅黑" w:eastAsia="微软雅黑"/>
          <w:kern w:val="2"/>
          <w:sz w:val="24"/>
          <w:szCs w:val="22"/>
        </w:rPr>
        <w:t>HCD Room Type Info-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其他直连渠道通用直连表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7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</w:t>
      </w:r>
      <w:r>
        <w:rPr>
          <w:rFonts w:ascii="微软雅黑" w:hAnsi="微软雅黑" w:eastAsia="微软雅黑"/>
          <w:kern w:val="2"/>
          <w:sz w:val="24"/>
          <w:szCs w:val="22"/>
        </w:rPr>
        <w:t>HCD Rate Plan Info-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其他直连渠道通用直连表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</w:rPr>
      </w:pPr>
      <w:r>
        <w:rPr>
          <w:rFonts w:hint="eastAsia" w:ascii="微软雅黑" w:hAnsi="微软雅黑" w:eastAsia="微软雅黑"/>
          <w:kern w:val="2"/>
          <w:sz w:val="24"/>
          <w:szCs w:val="22"/>
          <w:lang w:val="en-US" w:eastAsia="zh-CN"/>
        </w:rPr>
        <w:t>GMP-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SM-</w:t>
      </w:r>
      <w:r>
        <w:rPr>
          <w:rFonts w:ascii="微软雅黑" w:hAnsi="微软雅黑" w:eastAsia="微软雅黑"/>
          <w:kern w:val="2"/>
          <w:sz w:val="24"/>
          <w:szCs w:val="22"/>
        </w:rPr>
        <w:t>WF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-</w:t>
      </w:r>
      <w:r>
        <w:rPr>
          <w:rFonts w:ascii="微软雅黑" w:hAnsi="微软雅黑" w:eastAsia="微软雅黑"/>
          <w:kern w:val="2"/>
          <w:sz w:val="24"/>
          <w:szCs w:val="22"/>
        </w:rPr>
        <w:t>C</w:t>
      </w:r>
      <w:r>
        <w:rPr>
          <w:rFonts w:hint="eastAsia" w:ascii="微软雅黑" w:hAnsi="微软雅黑" w:eastAsia="微软雅黑"/>
          <w:kern w:val="2"/>
          <w:sz w:val="24"/>
          <w:szCs w:val="22"/>
        </w:rPr>
        <w:t>M-00</w:t>
      </w:r>
      <w:r>
        <w:rPr>
          <w:rFonts w:ascii="微软雅黑" w:hAnsi="微软雅黑" w:eastAsia="微软雅黑"/>
          <w:kern w:val="2"/>
          <w:sz w:val="24"/>
          <w:szCs w:val="22"/>
        </w:rPr>
        <w:t>8</w:t>
      </w:r>
      <w:r>
        <w:rPr>
          <w:rFonts w:hint="eastAsia" w:ascii="微软雅黑" w:hAnsi="微软雅黑" w:eastAsia="微软雅黑"/>
          <w:kern w:val="2"/>
          <w:sz w:val="24"/>
          <w:szCs w:val="22"/>
        </w:rPr>
        <w:t xml:space="preserve"> 其他直连渠道通用直连表</w:t>
      </w: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widowControl w:val="0"/>
        <w:jc w:val="both"/>
        <w:rPr>
          <w:rFonts w:ascii="微软雅黑" w:hAnsi="微软雅黑" w:eastAsia="微软雅黑"/>
          <w:kern w:val="2"/>
          <w:sz w:val="24"/>
          <w:szCs w:val="22"/>
          <w:highlight w:val="yellow"/>
        </w:rPr>
      </w:pPr>
    </w:p>
    <w:p>
      <w:pPr>
        <w:spacing w:line="360" w:lineRule="auto"/>
        <w:rPr>
          <w:rFonts w:ascii="新宋体" w:hAnsi="新宋体" w:eastAsia="新宋体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2045" w:right="1134" w:bottom="1246" w:left="1134" w:header="907" w:footer="10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120650</wp:posOffset>
          </wp:positionV>
          <wp:extent cx="5400040" cy="647700"/>
          <wp:effectExtent l="0" t="0" r="0" b="0"/>
          <wp:wrapTight wrapText="bothSides">
            <wp:wrapPolygon>
              <wp:start x="13792" y="5082"/>
              <wp:lineTo x="610" y="6353"/>
              <wp:lineTo x="305" y="10800"/>
              <wp:lineTo x="610" y="17153"/>
              <wp:lineTo x="21260" y="17153"/>
              <wp:lineTo x="21336" y="9529"/>
              <wp:lineTo x="19659" y="6988"/>
              <wp:lineTo x="15773" y="5082"/>
              <wp:lineTo x="13792" y="5082"/>
            </wp:wrapPolygon>
          </wp:wrapTight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PowerPlusWaterMarkObject955621767" o:spid="_x0000_s1027" o:spt="136" type="#_x0000_t136" style="position:absolute;left:0pt;height:150.95pt;width:528.4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TG-S&amp;M" style="font-family:宋体;font-size:1pt;v-text-align:center;"/>
        </v:shape>
      </w:pict>
    </w:r>
    <w:r>
      <w:drawing>
        <wp:inline distT="0" distB="0" distL="0" distR="0">
          <wp:extent cx="3006725" cy="569595"/>
          <wp:effectExtent l="0" t="0" r="3175" b="0"/>
          <wp:docPr id="4" name="图片 4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2834" cy="5953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PowerPlusWaterMarkObject955621766" o:spid="_x0000_s1026" o:spt="136" type="#_x0000_t136" style="position:absolute;left:0pt;height:150.95pt;width:528.4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TG-S&amp;M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PowerPlusWaterMarkObject955621765" o:spid="_x0000_s1025" o:spt="136" type="#_x0000_t136" style="position:absolute;left:0pt;height:150.95pt;width:528.4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TG-S&amp;M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4137B6"/>
    <w:multiLevelType w:val="multilevel"/>
    <w:tmpl w:val="2E4137B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hAnsi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9956BBA"/>
    <w:multiLevelType w:val="multilevel"/>
    <w:tmpl w:val="59956B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U4OGNlNjU3NThlYzBlM2I4MjIzYjI3MDJjYzA1MTMifQ=="/>
  </w:docVars>
  <w:rsids>
    <w:rsidRoot w:val="003631ED"/>
    <w:rsid w:val="00033A8F"/>
    <w:rsid w:val="00043293"/>
    <w:rsid w:val="000735D6"/>
    <w:rsid w:val="000A47C0"/>
    <w:rsid w:val="00190682"/>
    <w:rsid w:val="001A030A"/>
    <w:rsid w:val="001C574D"/>
    <w:rsid w:val="001D2614"/>
    <w:rsid w:val="001E7ED7"/>
    <w:rsid w:val="00227734"/>
    <w:rsid w:val="00253E93"/>
    <w:rsid w:val="002762D6"/>
    <w:rsid w:val="002E45FD"/>
    <w:rsid w:val="00334109"/>
    <w:rsid w:val="00335C2B"/>
    <w:rsid w:val="003631ED"/>
    <w:rsid w:val="00364FF9"/>
    <w:rsid w:val="003846A5"/>
    <w:rsid w:val="003E38ED"/>
    <w:rsid w:val="0043167C"/>
    <w:rsid w:val="004A338F"/>
    <w:rsid w:val="005206FA"/>
    <w:rsid w:val="00564111"/>
    <w:rsid w:val="005732D5"/>
    <w:rsid w:val="00593A7E"/>
    <w:rsid w:val="0066165B"/>
    <w:rsid w:val="0066194E"/>
    <w:rsid w:val="00682170"/>
    <w:rsid w:val="00684C62"/>
    <w:rsid w:val="00686329"/>
    <w:rsid w:val="006B24A2"/>
    <w:rsid w:val="006C069D"/>
    <w:rsid w:val="006C1C41"/>
    <w:rsid w:val="006E0778"/>
    <w:rsid w:val="00722AC2"/>
    <w:rsid w:val="007E3D10"/>
    <w:rsid w:val="00815765"/>
    <w:rsid w:val="00834819"/>
    <w:rsid w:val="00846AD6"/>
    <w:rsid w:val="00891F8C"/>
    <w:rsid w:val="008A4B19"/>
    <w:rsid w:val="00942BD0"/>
    <w:rsid w:val="0096500A"/>
    <w:rsid w:val="009A029A"/>
    <w:rsid w:val="009C1B32"/>
    <w:rsid w:val="009D71D3"/>
    <w:rsid w:val="009E2971"/>
    <w:rsid w:val="00A85757"/>
    <w:rsid w:val="00AB79C3"/>
    <w:rsid w:val="00AD6CB3"/>
    <w:rsid w:val="00B60404"/>
    <w:rsid w:val="00BA1BC5"/>
    <w:rsid w:val="00C27453"/>
    <w:rsid w:val="00C5120E"/>
    <w:rsid w:val="00CA0868"/>
    <w:rsid w:val="00CC43B0"/>
    <w:rsid w:val="00D77092"/>
    <w:rsid w:val="00D80C0C"/>
    <w:rsid w:val="00DA7DB4"/>
    <w:rsid w:val="00DE1826"/>
    <w:rsid w:val="00DE6124"/>
    <w:rsid w:val="00E25BC7"/>
    <w:rsid w:val="00E67ADD"/>
    <w:rsid w:val="00E81464"/>
    <w:rsid w:val="00EC57EF"/>
    <w:rsid w:val="00ED6436"/>
    <w:rsid w:val="00EF7565"/>
    <w:rsid w:val="00F07E74"/>
    <w:rsid w:val="00F2157B"/>
    <w:rsid w:val="00F42D75"/>
    <w:rsid w:val="00F90938"/>
    <w:rsid w:val="00FA0F51"/>
    <w:rsid w:val="00FB66C5"/>
    <w:rsid w:val="01086C64"/>
    <w:rsid w:val="014C2F66"/>
    <w:rsid w:val="027413D2"/>
    <w:rsid w:val="0EB16245"/>
    <w:rsid w:val="14D963C9"/>
    <w:rsid w:val="214613AC"/>
    <w:rsid w:val="25021A52"/>
    <w:rsid w:val="27AF2276"/>
    <w:rsid w:val="2DB77C45"/>
    <w:rsid w:val="2FAA1146"/>
    <w:rsid w:val="304C1788"/>
    <w:rsid w:val="32D5188F"/>
    <w:rsid w:val="33484F21"/>
    <w:rsid w:val="33F677C2"/>
    <w:rsid w:val="34E74F4B"/>
    <w:rsid w:val="3505232A"/>
    <w:rsid w:val="39F90F34"/>
    <w:rsid w:val="3D333F7F"/>
    <w:rsid w:val="425636F8"/>
    <w:rsid w:val="445203E6"/>
    <w:rsid w:val="46181554"/>
    <w:rsid w:val="479E2B03"/>
    <w:rsid w:val="4CE8279A"/>
    <w:rsid w:val="50707007"/>
    <w:rsid w:val="61D22899"/>
    <w:rsid w:val="68DC2EC7"/>
    <w:rsid w:val="6C9D4406"/>
    <w:rsid w:val="7B9A3229"/>
    <w:rsid w:val="7DAA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qFormat/>
    <w:uiPriority w:val="0"/>
    <w:pPr>
      <w:jc w:val="both"/>
    </w:pPr>
    <w:rPr>
      <w:rFonts w:ascii="Arial" w:hAnsi="Arial" w:eastAsia="Times New Roman"/>
      <w:sz w:val="22"/>
      <w:lang w:val="en-GB"/>
    </w:rPr>
  </w:style>
  <w:style w:type="paragraph" w:styleId="5">
    <w:name w:val="Body Text Indent"/>
    <w:basedOn w:val="1"/>
    <w:link w:val="15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6">
    <w:name w:val="Block Text"/>
    <w:basedOn w:val="1"/>
    <w:qFormat/>
    <w:uiPriority w:val="0"/>
    <w:pPr>
      <w:widowControl w:val="0"/>
      <w:ind w:left="560" w:right="-512" w:rightChars="-244" w:hanging="560" w:hangingChars="200"/>
      <w:jc w:val="both"/>
    </w:pPr>
    <w:rPr>
      <w:kern w:val="2"/>
      <w:sz w:val="28"/>
      <w:szCs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12">
    <w:name w:val="page number"/>
    <w:basedOn w:val="11"/>
    <w:qFormat/>
    <w:uiPriority w:val="0"/>
  </w:style>
  <w:style w:type="character" w:customStyle="1" w:styleId="13">
    <w:name w:val="正文文本 字符"/>
    <w:basedOn w:val="11"/>
    <w:link w:val="4"/>
    <w:qFormat/>
    <w:uiPriority w:val="0"/>
    <w:rPr>
      <w:rFonts w:ascii="Arial" w:hAnsi="Arial" w:eastAsia="Times New Roman"/>
      <w:sz w:val="22"/>
      <w:lang w:val="en-GB"/>
    </w:rPr>
  </w:style>
  <w:style w:type="paragraph" w:styleId="14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正文文本缩进 字符"/>
    <w:basedOn w:val="11"/>
    <w:link w:val="5"/>
    <w:qFormat/>
    <w:uiPriority w:val="0"/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12</Pages>
  <Words>2184</Words>
  <Characters>4607</Characters>
  <Lines>30</Lines>
  <Paragraphs>8</Paragraphs>
  <TotalTime>5</TotalTime>
  <ScaleCrop>false</ScaleCrop>
  <LinksUpToDate>false</LinksUpToDate>
  <CharactersWithSpaces>4854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2023-01-15T23:52:00Z</dcterms:created>
  <dc:creator>lucy</dc:creator>
  <cp:lastModifiedBy>WPS_1700633124</cp:lastModifiedBy>
  <cp:lastPrinted>2022-08-17T05:42:00Z</cp:lastPrinted>
  <dcterms:modified xsi:type="dcterms:W3CDTF">2024-01-11T01:21:01Z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F724D96C81F9407190085A706C55C72D_13</vt:lpwstr>
  </property>
</Properties>
</file>