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100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0"/>
        <w:gridCol w:w="3440"/>
        <w:gridCol w:w="32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0075" w:type="dxa"/>
            <w:gridSpan w:val="3"/>
          </w:tcPr>
          <w:p>
            <w:pPr>
              <w:pStyle w:val="2"/>
              <w:jc w:val="center"/>
              <w:rPr>
                <w:i w:val="0"/>
                <w:sz w:val="24"/>
              </w:rPr>
            </w:pPr>
            <w:r>
              <w:rPr>
                <w:rFonts w:hint="eastAsia" w:ascii="黑体" w:hAnsi="黑体" w:eastAsia="黑体"/>
                <w:b w:val="0"/>
                <w:i w:val="0"/>
                <w:sz w:val="30"/>
                <w:szCs w:val="30"/>
              </w:rPr>
              <w:t>政策与程序</w:t>
            </w:r>
            <w:r>
              <w:rPr>
                <w:i w:val="0"/>
                <w:color w:val="000000"/>
              </w:rPr>
              <w:t>POLICY AND PROCEDURES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3420" w:type="dxa"/>
          </w:tcPr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档号</w:t>
            </w:r>
            <w:r>
              <w:rPr>
                <w:b/>
                <w:sz w:val="18"/>
              </w:rPr>
              <w:t>Policy No.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/>
                <w:szCs w:val="24"/>
              </w:rPr>
              <w:t>SEC/P&amp;P/</w:t>
            </w:r>
            <w:r>
              <w:rPr>
                <w:szCs w:val="24"/>
              </w:rPr>
              <w:t>060</w:t>
            </w:r>
          </w:p>
        </w:tc>
        <w:tc>
          <w:tcPr>
            <w:tcW w:w="3440" w:type="dxa"/>
          </w:tcPr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部门</w:t>
            </w:r>
            <w:r>
              <w:rPr>
                <w:b/>
                <w:sz w:val="18"/>
              </w:rPr>
              <w:t>Department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 w:ascii="宋体" w:hAnsi="宋体"/>
                <w:szCs w:val="24"/>
              </w:rPr>
              <w:t>保安部</w:t>
            </w:r>
          </w:p>
        </w:tc>
        <w:tc>
          <w:tcPr>
            <w:tcW w:w="3215" w:type="dxa"/>
            <w:vAlign w:val="center"/>
          </w:tcPr>
          <w:p>
            <w:pPr>
              <w:pStyle w:val="5"/>
              <w:tabs>
                <w:tab w:val="clear" w:pos="4320"/>
                <w:tab w:val="clear" w:pos="8640"/>
              </w:tabs>
              <w:jc w:val="both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分部门</w:t>
            </w:r>
            <w:r>
              <w:rPr>
                <w:rFonts w:hint="eastAsia"/>
                <w:b/>
                <w:sz w:val="18"/>
              </w:rPr>
              <w:t>Section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 w:ascii="宋体" w:hAnsi="宋体"/>
                <w:szCs w:val="24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0" w:hRule="atLeast"/>
          <w:jc w:val="center"/>
        </w:trPr>
        <w:tc>
          <w:tcPr>
            <w:tcW w:w="3420" w:type="dxa"/>
          </w:tcPr>
          <w:p>
            <w:pPr>
              <w:pStyle w:val="5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编订</w:t>
            </w:r>
            <w:r>
              <w:rPr>
                <w:b/>
                <w:sz w:val="18"/>
              </w:rPr>
              <w:t>Prepared by: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0" allowOverlap="1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44450</wp:posOffset>
                      </wp:positionV>
                      <wp:extent cx="0" cy="0"/>
                      <wp:effectExtent l="5715" t="5080" r="13335" b="13970"/>
                      <wp:wrapNone/>
                      <wp:docPr id="1" name="Lin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2" o:spid="_x0000_s1026" o:spt="20" style="position:absolute;left:0pt;margin-left:36pt;margin-top:3.5pt;height:0pt;width:0pt;z-index:251659264;mso-width-relative:page;mso-height-relative:page;" filled="f" stroked="t" coordsize="21600,21600" o:allowincell="f" o:gfxdata="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h0GxSdAAAAAFAQAADwAAAAAAAAABACAAAAAiAAAAZHJzL2Rvd25yZXYueG1sUEsBAhQA&#10;FAAAAAgAh07iQFLTk5zBAQAAmQMAAA4AAAAAAAAAAQAgAAAAHwEAAGRycy9lMm9Eb2MueG1sUEsF&#10;BgAAAAAGAAYAWQEAAFI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b/>
                <w:sz w:val="16"/>
              </w:rPr>
              <w:t xml:space="preserve">Signature: </w:t>
            </w:r>
          </w:p>
        </w:tc>
        <w:tc>
          <w:tcPr>
            <w:tcW w:w="3440" w:type="dxa"/>
          </w:tcPr>
          <w:p>
            <w:pPr>
              <w:pStyle w:val="5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发布</w:t>
            </w:r>
            <w:r>
              <w:rPr>
                <w:b/>
                <w:sz w:val="18"/>
              </w:rPr>
              <w:t>Issued by: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>Signature:</w:t>
            </w:r>
          </w:p>
        </w:tc>
        <w:tc>
          <w:tcPr>
            <w:tcW w:w="3215" w:type="dxa"/>
          </w:tcPr>
          <w:p>
            <w:pPr>
              <w:pStyle w:val="5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6"/>
              </w:rPr>
            </w:pPr>
            <w:r>
              <w:rPr>
                <w:rFonts w:hint="eastAsia" w:ascii="黑体" w:hAnsi="黑体" w:eastAsia="黑体"/>
                <w:szCs w:val="24"/>
              </w:rPr>
              <w:t>总经理审批</w:t>
            </w:r>
            <w:r>
              <w:rPr>
                <w:b/>
                <w:sz w:val="18"/>
              </w:rPr>
              <w:t>GM approval: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>Signature: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0" w:type="dxa"/>
          </w:tcPr>
          <w:p>
            <w:pPr>
              <w:pStyle w:val="5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生效日期</w:t>
            </w:r>
            <w:r>
              <w:rPr>
                <w:b/>
                <w:sz w:val="18"/>
              </w:rPr>
              <w:t xml:space="preserve">Effective Date: 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宋体" w:hAnsi="宋体"/>
                <w:szCs w:val="24"/>
              </w:rPr>
              <w:t>20</w:t>
            </w:r>
            <w:r>
              <w:rPr>
                <w:rFonts w:ascii="宋体" w:hAnsi="宋体"/>
                <w:szCs w:val="24"/>
              </w:rPr>
              <w:t>2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/>
                <w:szCs w:val="24"/>
              </w:rPr>
              <w:t>年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9</w:t>
            </w:r>
            <w:r>
              <w:rPr>
                <w:rFonts w:hint="eastAsia" w:ascii="宋体" w:hAnsi="宋体"/>
                <w:szCs w:val="24"/>
              </w:rPr>
              <w:t>月1日</w:t>
            </w:r>
            <w:bookmarkStart w:id="0" w:name="_GoBack"/>
            <w:bookmarkEnd w:id="0"/>
          </w:p>
        </w:tc>
        <w:tc>
          <w:tcPr>
            <w:tcW w:w="3440" w:type="dxa"/>
          </w:tcPr>
          <w:p>
            <w:pPr>
              <w:pStyle w:val="5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取代</w:t>
            </w:r>
            <w:r>
              <w:rPr>
                <w:b/>
                <w:sz w:val="18"/>
              </w:rPr>
              <w:t>Supersedes: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宋体" w:hAnsi="宋体"/>
                <w:szCs w:val="24"/>
              </w:rPr>
              <w:t>原档号SS/XX/XXX</w:t>
            </w:r>
          </w:p>
        </w:tc>
        <w:tc>
          <w:tcPr>
            <w:tcW w:w="3215" w:type="dxa"/>
          </w:tcPr>
          <w:p>
            <w:pPr>
              <w:pStyle w:val="3"/>
              <w:spacing w:line="440" w:lineRule="exact"/>
              <w:rPr>
                <w:sz w:val="18"/>
              </w:rPr>
            </w:pPr>
            <w:r>
              <w:rPr>
                <w:rFonts w:hint="eastAsia" w:ascii="黑体" w:hAnsi="黑体" w:eastAsia="黑体"/>
                <w:b w:val="0"/>
                <w:sz w:val="24"/>
                <w:szCs w:val="24"/>
              </w:rPr>
              <w:t>分发</w:t>
            </w:r>
            <w:r>
              <w:rPr>
                <w:sz w:val="18"/>
              </w:rPr>
              <w:t xml:space="preserve">Distribution: </w:t>
            </w:r>
          </w:p>
          <w:p>
            <w:pPr>
              <w:spacing w:line="440" w:lineRule="exact"/>
            </w:pP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6"/>
        <w:tblW w:w="100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tcW w:w="10085" w:type="dxa"/>
            <w:vAlign w:val="center"/>
          </w:tcPr>
          <w:p>
            <w:pPr>
              <w:spacing w:line="460" w:lineRule="exact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主题</w:t>
            </w:r>
            <w:r>
              <w:rPr>
                <w:rFonts w:eastAsia="黑体"/>
                <w:sz w:val="28"/>
                <w:szCs w:val="28"/>
              </w:rPr>
              <w:t>Subject</w:t>
            </w:r>
            <w:r>
              <w:rPr>
                <w:rFonts w:hint="eastAsia" w:ascii="宋体" w:hAnsi="宋体"/>
                <w:sz w:val="24"/>
                <w:szCs w:val="24"/>
              </w:rPr>
              <w:t>: 旗帜与升降旗制度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6"/>
        <w:tblW w:w="100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0080" w:type="dxa"/>
            <w:vAlign w:val="center"/>
          </w:tcPr>
          <w:p>
            <w:pPr>
              <w:spacing w:line="460" w:lineRule="exact"/>
              <w:jc w:val="both"/>
              <w:rPr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目的</w:t>
            </w:r>
            <w:r>
              <w:rPr>
                <w:sz w:val="28"/>
                <w:szCs w:val="28"/>
              </w:rPr>
              <w:t>Purpose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p>
            <w:pPr>
              <w:spacing w:line="460" w:lineRule="exact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根据中旅酒店的有关规定并结合营运的要求，本规定突出了升降国旗及企业旗帜的严肃、庄重性。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6"/>
        <w:tblW w:w="9848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48" w:type="dxa"/>
          </w:tcPr>
          <w:p>
            <w:p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制度</w:t>
            </w:r>
            <w:r>
              <w:rPr>
                <w:sz w:val="28"/>
                <w:szCs w:val="28"/>
              </w:rPr>
              <w:t>Po</w:t>
            </w:r>
            <w:r>
              <w:rPr>
                <w:rFonts w:hint="eastAsia"/>
                <w:sz w:val="28"/>
                <w:szCs w:val="28"/>
              </w:rPr>
              <w:t>licy</w:t>
            </w:r>
            <w:r>
              <w:rPr>
                <w:rFonts w:hint="eastAsia" w:ascii="宋体" w:hAnsi="宋体"/>
                <w:sz w:val="24"/>
                <w:szCs w:val="24"/>
              </w:rPr>
              <w:t>：</w:t>
            </w:r>
          </w:p>
          <w:p>
            <w:pPr>
              <w:spacing w:line="460" w:lineRule="exact"/>
              <w:rPr>
                <w:rFonts w:ascii="新宋体" w:hAnsi="新宋体" w:eastAsia="新宋体"/>
              </w:rPr>
            </w:pPr>
            <w:r>
              <w:rPr>
                <w:rFonts w:hint="eastAsia"/>
                <w:sz w:val="24"/>
                <w:szCs w:val="24"/>
              </w:rPr>
              <w:t>此政策分别规定了国旗及酒店的相关旗帜的升降、保存的操作程序，以及此项制度的执行与监督部门。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6"/>
        <w:tblW w:w="511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5" w:hRule="atLeast"/>
          <w:jc w:val="center"/>
        </w:trPr>
        <w:tc>
          <w:tcPr>
            <w:tcW w:w="5000" w:type="pct"/>
          </w:tcPr>
          <w:p>
            <w:p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程序</w:t>
            </w:r>
            <w:r>
              <w:rPr>
                <w:sz w:val="28"/>
                <w:szCs w:val="28"/>
              </w:rPr>
              <w:t>Procedures</w:t>
            </w:r>
            <w:r>
              <w:rPr>
                <w:rFonts w:hint="eastAsia" w:ascii="宋体" w:hAnsi="宋体"/>
                <w:sz w:val="24"/>
                <w:szCs w:val="24"/>
              </w:rPr>
              <w:t>：</w:t>
            </w:r>
          </w:p>
          <w:p>
            <w:p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一、旗帜与旗杆要求</w:t>
            </w:r>
          </w:p>
          <w:p>
            <w:p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1</w:t>
            </w:r>
            <w:r>
              <w:rPr>
                <w:rFonts w:ascii="宋体" w:hAnsi="宋体"/>
                <w:sz w:val="24"/>
                <w:szCs w:val="24"/>
              </w:rPr>
              <w:t>.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宋体" w:hAnsi="宋体"/>
                <w:sz w:val="24"/>
                <w:szCs w:val="24"/>
              </w:rPr>
              <w:t>旗帜规格：</w:t>
            </w:r>
          </w:p>
          <w:p>
            <w:pPr>
              <w:spacing w:line="460" w:lineRule="exact"/>
              <w:ind w:left="306" w:leftChars="153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旗杆高度一致时，所有旗帜使用二号旗；当中间国旗杆高于其他旗杆时，国旗使用一号旗，其他旗帜使用二号旗。</w:t>
            </w:r>
          </w:p>
          <w:p>
            <w:p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2</w:t>
            </w:r>
            <w:r>
              <w:rPr>
                <w:rFonts w:ascii="宋体" w:hAnsi="宋体"/>
                <w:sz w:val="24"/>
                <w:szCs w:val="24"/>
              </w:rPr>
              <w:t>.</w:t>
            </w:r>
            <w:r>
              <w:rPr>
                <w:rFonts w:hint="eastAsia" w:ascii="宋体" w:hAnsi="宋体"/>
                <w:sz w:val="24"/>
                <w:szCs w:val="24"/>
              </w:rPr>
              <w:t>旗帜挂放次序：</w:t>
            </w:r>
          </w:p>
          <w:p>
            <w:pPr>
              <w:spacing w:line="460" w:lineRule="exact"/>
              <w:ind w:left="306" w:leftChars="153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1）面对旗杆和主建筑物，以中间国旗杆分左右，从里向外依次为左一、左二、右一、右二，位置重要性按右一、左一、右二、左二排序。</w:t>
            </w:r>
          </w:p>
          <w:p>
            <w:pPr>
              <w:spacing w:line="460" w:lineRule="exact"/>
              <w:ind w:left="306" w:leftChars="153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2</w:t>
            </w:r>
            <w:r>
              <w:rPr>
                <w:rFonts w:hint="eastAsia" w:ascii="宋体" w:hAnsi="宋体"/>
                <w:sz w:val="24"/>
                <w:szCs w:val="24"/>
              </w:rPr>
              <w:t>）自有及控股酒店挂放标准：</w:t>
            </w:r>
          </w:p>
          <w:p>
            <w:pPr>
              <w:spacing w:line="460" w:lineRule="exact"/>
              <w:ind w:left="306" w:leftChars="153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右一，中旅集团旗；左一，中旅酒店司旗；右二，酒店店旗或参股方企业旗；左二，酒店店旗；如酒店只有三根旗杆，挂放国旗、集团旗、中旅酒店司旗即可。</w:t>
            </w:r>
          </w:p>
          <w:p>
            <w:pPr>
              <w:spacing w:line="460" w:lineRule="exact"/>
              <w:ind w:left="306" w:leftChars="153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3</w:t>
            </w:r>
            <w:r>
              <w:rPr>
                <w:rFonts w:hint="eastAsia" w:ascii="宋体" w:hAnsi="宋体"/>
                <w:sz w:val="24"/>
                <w:szCs w:val="24"/>
              </w:rPr>
              <w:t>）输出管理酒店挂放标准：</w:t>
            </w:r>
          </w:p>
          <w:p>
            <w:pPr>
              <w:spacing w:line="460" w:lineRule="exact"/>
              <w:ind w:left="306" w:leftChars="153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右一，业主企业集团旗；左一，中旅酒店司旗；右二，酒店店旗或业主企业子公司旗；左二，酒店店旗。原则上不要求输出管理酒店挂放港中旅集团旗，如果需要挂放，应置于右一的位置，其他旗帜位置顺延，但如果旗杆数量有限，应确保挂放中旅酒店司旗。</w:t>
            </w:r>
          </w:p>
          <w:p>
            <w:pPr>
              <w:spacing w:line="460" w:lineRule="exact"/>
              <w:ind w:left="306" w:leftChars="153"/>
              <w:rPr>
                <w:rFonts w:ascii="宋体" w:hAnsi="宋体"/>
                <w:sz w:val="24"/>
                <w:szCs w:val="24"/>
              </w:rPr>
            </w:pPr>
          </w:p>
          <w:p>
            <w:p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二、升降旗要求</w:t>
            </w:r>
          </w:p>
          <w:p>
            <w:pPr>
              <w:numPr>
                <w:ilvl w:val="0"/>
                <w:numId w:val="1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严格执行国旗法：</w:t>
            </w:r>
          </w:p>
          <w:p>
            <w:pPr>
              <w:spacing w:line="460" w:lineRule="exact"/>
              <w:ind w:left="42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日出升旗、日落降旗，不得彻夜悬挂；遇大风、雨、雪天气不得悬挂；保持旗面整洁，如有污损，须及时更换。</w:t>
            </w:r>
          </w:p>
          <w:p>
            <w:pPr>
              <w:numPr>
                <w:ilvl w:val="0"/>
                <w:numId w:val="1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升降旗地点：酒店旗杆处。</w:t>
            </w:r>
          </w:p>
          <w:p>
            <w:pPr>
              <w:numPr>
                <w:ilvl w:val="0"/>
                <w:numId w:val="1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旗帜内容及数量：</w:t>
            </w:r>
          </w:p>
          <w:p>
            <w:pPr>
              <w:spacing w:line="460" w:lineRule="exact"/>
              <w:ind w:left="42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酒店必须每日升降国旗、中旅酒店司旗、店旗，港澳地区包括行政区旗帜，输出管理酒店可升降业主企业旗帜。</w:t>
            </w:r>
          </w:p>
          <w:p>
            <w:pPr>
              <w:numPr>
                <w:ilvl w:val="0"/>
                <w:numId w:val="1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旗帜的位置：</w:t>
            </w:r>
          </w:p>
          <w:p>
            <w:pPr>
              <w:spacing w:line="460" w:lineRule="exact"/>
              <w:ind w:left="42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国旗居于最中间旗杆，其他旗帜不得高于国旗、尺寸不得大于国旗；店旗在最外位置、中间旗帜按照重要性以升旗人从左至右升序排列。</w:t>
            </w:r>
          </w:p>
          <w:p>
            <w:pPr>
              <w:numPr>
                <w:ilvl w:val="0"/>
                <w:numId w:val="1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具体实施部门及责任人：</w:t>
            </w:r>
          </w:p>
          <w:p>
            <w:pPr>
              <w:spacing w:line="460" w:lineRule="exact"/>
              <w:ind w:left="42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实施部门酒店保安部，由经理负责。（酒店也可以规定礼宾部负责该项工作）</w:t>
            </w:r>
          </w:p>
          <w:p>
            <w:pPr>
              <w:numPr>
                <w:ilvl w:val="0"/>
                <w:numId w:val="1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升降旗顺序：</w:t>
            </w:r>
          </w:p>
          <w:p>
            <w:pPr>
              <w:spacing w:line="460" w:lineRule="exact"/>
              <w:ind w:left="42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升旗：先升国旗，再升左右两边的旗帜。</w:t>
            </w:r>
          </w:p>
          <w:p>
            <w:pPr>
              <w:spacing w:line="460" w:lineRule="exact"/>
              <w:ind w:left="42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降旗：先降下左右两边的旗帜，再降下国旗。</w:t>
            </w:r>
          </w:p>
          <w:p>
            <w:pPr>
              <w:numPr>
                <w:ilvl w:val="0"/>
                <w:numId w:val="1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特殊情况：</w:t>
            </w:r>
          </w:p>
          <w:p>
            <w:pPr>
              <w:spacing w:line="460" w:lineRule="exact"/>
              <w:ind w:left="42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因气候情况可调整升降旗时间，执行国旗法的具体规定。</w:t>
            </w:r>
          </w:p>
          <w:p>
            <w:pPr>
              <w:numPr>
                <w:ilvl w:val="0"/>
                <w:numId w:val="1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备用旗：</w:t>
            </w:r>
          </w:p>
          <w:p>
            <w:pPr>
              <w:spacing w:line="460" w:lineRule="exact"/>
              <w:ind w:left="42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旗帜的尺寸、图案、色样美工部要有资料存档，保安部负责填写旗帜采购单，交采购部购买，保证酒店有两套备用旗，保安部备存一份升降的旗帜，以用于临时替换和洗涤之用，另一套备用旗要入库保管，当保安部的备用旗和正在悬挂的旗帜出现破损时，领用库房的备用旗，同时库房要及时补库。</w:t>
            </w:r>
          </w:p>
          <w:p>
            <w:pPr>
              <w:numPr>
                <w:ilvl w:val="0"/>
                <w:numId w:val="1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检查、监督：</w:t>
            </w:r>
          </w:p>
          <w:p>
            <w:pPr>
              <w:spacing w:line="460" w:lineRule="exact"/>
              <w:ind w:left="475" w:leftChars="237" w:hanging="1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行政办/总经办及大堂副理负有对升降旗帜执行情况进行监督、检查的职责，发现问题应及时与保安部进行沟通。</w:t>
            </w:r>
          </w:p>
          <w:p>
            <w:p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1</w:t>
            </w:r>
            <w:r>
              <w:rPr>
                <w:rFonts w:ascii="宋体" w:hAnsi="宋体"/>
                <w:sz w:val="24"/>
                <w:szCs w:val="24"/>
              </w:rPr>
              <w:t xml:space="preserve">0. </w:t>
            </w:r>
            <w:r>
              <w:rPr>
                <w:rFonts w:hint="eastAsia" w:ascii="宋体" w:hAnsi="宋体"/>
                <w:sz w:val="24"/>
                <w:szCs w:val="24"/>
              </w:rPr>
              <w:t>其他注意事项：</w:t>
            </w:r>
          </w:p>
          <w:p>
            <w:pPr>
              <w:spacing w:line="460" w:lineRule="exact"/>
              <w:ind w:left="446" w:leftChars="223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以上要求只限于有旗杆的酒店，另酒店升旗必须挂满旗，不得空置旗杆；对拥有多列旗杆的，可视自身客源情况挂放万国旗，但应避免挂放个别敏感国家旗，不得挂放地区及行政区旗，我国国旗应居于万国旗中间位置。</w:t>
            </w:r>
          </w:p>
        </w:tc>
      </w:tr>
    </w:tbl>
    <w:p>
      <w:pPr>
        <w:rPr>
          <w:rFonts w:ascii="新宋体" w:hAnsi="新宋体" w:eastAsia="新宋体"/>
        </w:rPr>
      </w:pPr>
    </w:p>
    <w:sectPr>
      <w:headerReference r:id="rId3" w:type="default"/>
      <w:pgSz w:w="11906" w:h="16838"/>
      <w:pgMar w:top="2045" w:right="1134" w:bottom="1246" w:left="1134" w:header="623" w:footer="948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drawing>
        <wp:inline distT="0" distB="0" distL="0" distR="0">
          <wp:extent cx="2847975" cy="438150"/>
          <wp:effectExtent l="0" t="0" r="0" b="0"/>
          <wp:docPr id="3" name="图片 10" descr="图片包含 游戏机, 画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0" descr="图片包含 游戏机, 画&#10;&#10;描述已自动生成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479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3A05D0"/>
    <w:multiLevelType w:val="multilevel"/>
    <w:tmpl w:val="2B3A05D0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I1ZDBlMGU5ODg0MjFmMWM5ODUwYjE5NDUzNjg2ZWYifQ=="/>
  </w:docVars>
  <w:rsids>
    <w:rsidRoot w:val="00411147"/>
    <w:rsid w:val="000C67AF"/>
    <w:rsid w:val="0012676D"/>
    <w:rsid w:val="001973C0"/>
    <w:rsid w:val="00235385"/>
    <w:rsid w:val="00280C23"/>
    <w:rsid w:val="003578E7"/>
    <w:rsid w:val="00411147"/>
    <w:rsid w:val="0041702B"/>
    <w:rsid w:val="004669F8"/>
    <w:rsid w:val="004E343E"/>
    <w:rsid w:val="00632C63"/>
    <w:rsid w:val="008E11C1"/>
    <w:rsid w:val="009409D1"/>
    <w:rsid w:val="00993FDE"/>
    <w:rsid w:val="00A23CF3"/>
    <w:rsid w:val="00B62C5C"/>
    <w:rsid w:val="00B87802"/>
    <w:rsid w:val="00BD4502"/>
    <w:rsid w:val="00C95781"/>
    <w:rsid w:val="00D81191"/>
    <w:rsid w:val="00E00225"/>
    <w:rsid w:val="524D130A"/>
    <w:rsid w:val="60457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i/>
      <w:sz w:val="28"/>
    </w:rPr>
  </w:style>
  <w:style w:type="paragraph" w:styleId="3">
    <w:name w:val="heading 3"/>
    <w:basedOn w:val="1"/>
    <w:next w:val="1"/>
    <w:qFormat/>
    <w:uiPriority w:val="0"/>
    <w:pPr>
      <w:keepNext/>
      <w:outlineLvl w:val="2"/>
    </w:pPr>
    <w:rPr>
      <w:b/>
      <w:sz w:val="16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320"/>
        <w:tab w:val="right" w:pos="8640"/>
      </w:tabs>
    </w:pPr>
    <w:rPr>
      <w:sz w:val="24"/>
    </w:rPr>
  </w:style>
  <w:style w:type="character" w:styleId="8">
    <w:name w:val="page number"/>
    <w:basedOn w:val="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DELLNBX</Company>
  <Pages>3</Pages>
  <Words>210</Words>
  <Characters>1198</Characters>
  <Lines>9</Lines>
  <Paragraphs>2</Paragraphs>
  <TotalTime>0</TotalTime>
  <ScaleCrop>false</ScaleCrop>
  <LinksUpToDate>false</LinksUpToDate>
  <CharactersWithSpaces>1406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2021-08-18T08:32:00Z</dcterms:created>
  <dc:creator>lucy</dc:creator>
  <cp:lastModifiedBy>冯亮</cp:lastModifiedBy>
  <dcterms:modified xsi:type="dcterms:W3CDTF">2023-11-24T03:13:49Z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D620ACFDD3E64B828F2E3F596C3864D9</vt:lpwstr>
  </property>
</Properties>
</file>