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标准操作规范</w:t>
            </w:r>
            <w:r>
              <w:rPr>
                <w:i w:val="0"/>
                <w:color w:val="000000"/>
              </w:rPr>
              <w:t>STANDARD OPERATION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rFonts w:hint="eastAsia"/>
                <w:b/>
                <w:sz w:val="18"/>
              </w:rPr>
            </w:pPr>
            <w:r>
              <w:rPr>
                <w:rFonts w:hint="eastAsia" w:ascii="黑体" w:hAnsi="黑体" w:eastAsia="黑体"/>
                <w:szCs w:val="24"/>
              </w:rPr>
              <w:t>档号</w:t>
            </w:r>
            <w:r>
              <w:rPr>
                <w:b/>
                <w:sz w:val="18"/>
              </w:rPr>
              <w:t>Policy No.</w:t>
            </w:r>
            <w:r>
              <w:rPr>
                <w:rFonts w:hint="eastAsia" w:ascii="宋体" w:hAnsi="宋体"/>
                <w:sz w:val="28"/>
              </w:rPr>
              <w:t>：</w:t>
            </w:r>
            <w:r>
              <w:rPr>
                <w:szCs w:val="24"/>
              </w:rPr>
              <w:t>SEC/P&amp;P/086</w:t>
            </w:r>
          </w:p>
        </w:tc>
        <w:tc>
          <w:tcPr>
            <w:tcW w:w="3603" w:type="dxa"/>
          </w:tcPr>
          <w:p>
            <w:pPr>
              <w:pStyle w:val="6"/>
              <w:tabs>
                <w:tab w:val="clear" w:pos="4320"/>
                <w:tab w:val="clear" w:pos="8640"/>
              </w:tabs>
              <w:rPr>
                <w:rFonts w:hint="eastAsia"/>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Tahoma" w:hAnsi="Tahoma" w:cs="Tahoma"/>
                <w:szCs w:val="24"/>
              </w:rPr>
              <w:t>保安部</w:t>
            </w:r>
            <w:r>
              <w:rPr>
                <w:szCs w:val="24"/>
              </w:rPr>
              <w:t>Security</w:t>
            </w:r>
          </w:p>
        </w:tc>
        <w:tc>
          <w:tcPr>
            <w:tcW w:w="3052" w:type="dxa"/>
            <w:vAlign w:val="center"/>
          </w:tcPr>
          <w:p>
            <w:pPr>
              <w:pStyle w:val="6"/>
              <w:tabs>
                <w:tab w:val="clear" w:pos="4320"/>
                <w:tab w:val="clear" w:pos="8640"/>
              </w:tabs>
              <w:jc w:val="both"/>
              <w:rPr>
                <w:rFonts w:hint="eastAsia"/>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6"/>
              <w:tabs>
                <w:tab w:val="clear" w:pos="4320"/>
                <w:tab w:val="clear" w:pos="8640"/>
              </w:tabs>
              <w:rPr>
                <w:rFonts w:hint="eastAsia"/>
                <w:b/>
                <w:sz w:val="16"/>
              </w:rPr>
            </w:pPr>
          </w:p>
          <w:p>
            <w:pPr>
              <w:pStyle w:val="6"/>
              <w:tabs>
                <w:tab w:val="clear" w:pos="4320"/>
                <w:tab w:val="clear" w:pos="8640"/>
              </w:tabs>
              <w:rPr>
                <w:rFonts w:hint="eastAsia"/>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635" cy="0"/>
                      <wp:effectExtent l="5715" t="5080" r="12700" b="13970"/>
                      <wp:wrapNone/>
                      <wp:docPr id="1511856729" name="直线 2"/>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ln>
                            </wps:spPr>
                            <wps:bodyPr/>
                          </wps:wsp>
                        </a:graphicData>
                      </a:graphic>
                    </wp:anchor>
                  </w:drawing>
                </mc:Choice>
                <mc:Fallback>
                  <w:pict>
                    <v:line id="直线 2" o:spid="_x0000_s1026" o:spt="20" style="position:absolute;left:0pt;margin-left:36pt;margin-top:3.5pt;height:0pt;width:0.05pt;z-index:251659264;mso-width-relative:page;mso-height-relative:page;" filled="f" stroked="t" coordsize="21600,21600" o:allowincell="f" o:gfxdata="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Q56yu0gAAAAUBAAAPAAAAAAAAAAEA&#10;IAAAACIAAABkcnMvZG93bnJldi54bWxQSwECFAAUAAAACACHTuJAEEmn89wBAACmAwAADgAAAAAA&#10;AAABACAAAAAhAQAAZHJzL2Uyb0RvYy54bWxQSwUGAAAAAAYABgBZAQAAbwUAAAAA&#10;">
                      <v:fill on="f" focussize="0,0"/>
                      <v:stroke color="#000000" joinstyle="round"/>
                      <v:imagedata o:title=""/>
                      <o:lock v:ext="edit" aspectratio="f"/>
                    </v:line>
                  </w:pict>
                </mc:Fallback>
              </mc:AlternateContent>
            </w:r>
            <w:r>
              <w:rPr>
                <w:b/>
                <w:sz w:val="16"/>
              </w:rPr>
              <w:t xml:space="preserve">Signature: </w:t>
            </w:r>
          </w:p>
        </w:tc>
        <w:tc>
          <w:tcPr>
            <w:tcW w:w="3603" w:type="dxa"/>
          </w:tcPr>
          <w:p>
            <w:pPr>
              <w:pStyle w:val="6"/>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6"/>
              <w:tabs>
                <w:tab w:val="clear" w:pos="4320"/>
                <w:tab w:val="clear" w:pos="8640"/>
              </w:tabs>
              <w:rPr>
                <w:rFonts w:hint="eastAsia"/>
                <w:b/>
                <w:sz w:val="16"/>
              </w:rPr>
            </w:pPr>
          </w:p>
          <w:p>
            <w:pPr>
              <w:pStyle w:val="6"/>
              <w:tabs>
                <w:tab w:val="clear" w:pos="4320"/>
                <w:tab w:val="clear" w:pos="8640"/>
              </w:tabs>
              <w:rPr>
                <w:rFonts w:hint="eastAsia"/>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c>
          <w:tcPr>
            <w:tcW w:w="3052" w:type="dxa"/>
          </w:tcPr>
          <w:p>
            <w:pPr>
              <w:pStyle w:val="6"/>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6"/>
              <w:tabs>
                <w:tab w:val="clear" w:pos="4320"/>
                <w:tab w:val="clear" w:pos="8640"/>
              </w:tabs>
              <w:rPr>
                <w:rFonts w:hint="eastAsia"/>
                <w:b/>
                <w:sz w:val="16"/>
              </w:rPr>
            </w:pPr>
          </w:p>
          <w:p>
            <w:pPr>
              <w:pStyle w:val="6"/>
              <w:tabs>
                <w:tab w:val="clear" w:pos="4320"/>
                <w:tab w:val="clear" w:pos="8640"/>
              </w:tabs>
              <w:rPr>
                <w:rFonts w:hint="eastAsia"/>
                <w:szCs w:val="24"/>
              </w:rPr>
            </w:pPr>
            <w:r>
              <w:rPr>
                <w:rFonts w:hint="eastAsia" w:ascii="黑体" w:hAnsi="黑体" w:eastAsia="黑体"/>
                <w:szCs w:val="24"/>
              </w:rPr>
              <w:t>签名</w:t>
            </w:r>
            <w:r>
              <w:rPr>
                <w:rFonts w:hint="eastAsia"/>
                <w:szCs w:val="24"/>
              </w:rPr>
              <w:t>：</w:t>
            </w:r>
          </w:p>
          <w:p>
            <w:pPr>
              <w:pStyle w:val="6"/>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rFonts w:hint="eastAsia"/>
                <w:b/>
                <w:sz w:val="18"/>
              </w:rPr>
            </w:pPr>
            <w:r>
              <w:rPr>
                <w:rFonts w:hint="eastAsia" w:ascii="黑体" w:hAnsi="黑体" w:eastAsia="黑体"/>
                <w:szCs w:val="24"/>
              </w:rPr>
              <w:t>生效日期</w:t>
            </w:r>
            <w:r>
              <w:rPr>
                <w:b/>
                <w:sz w:val="18"/>
              </w:rPr>
              <w:t xml:space="preserve">Effective Date: </w:t>
            </w:r>
          </w:p>
          <w:p>
            <w:pPr>
              <w:pStyle w:val="6"/>
              <w:tabs>
                <w:tab w:val="clear" w:pos="4320"/>
                <w:tab w:val="clear" w:pos="8640"/>
              </w:tabs>
              <w:spacing w:line="440" w:lineRule="exact"/>
              <w:rPr>
                <w:b/>
                <w:sz w:val="18"/>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0" w:name="_GoBack"/>
            <w:bookmarkEnd w:id="0"/>
          </w:p>
        </w:tc>
        <w:tc>
          <w:tcPr>
            <w:tcW w:w="3603" w:type="dxa"/>
          </w:tcPr>
          <w:p>
            <w:pPr>
              <w:pStyle w:val="6"/>
              <w:tabs>
                <w:tab w:val="clear" w:pos="4320"/>
                <w:tab w:val="clear" w:pos="8640"/>
              </w:tabs>
              <w:spacing w:line="440" w:lineRule="exact"/>
              <w:rPr>
                <w:rFonts w:hint="eastAsia"/>
                <w:b/>
                <w:sz w:val="18"/>
              </w:rPr>
            </w:pPr>
            <w:r>
              <w:rPr>
                <w:rFonts w:hint="eastAsia" w:ascii="黑体" w:hAnsi="黑体" w:eastAsia="黑体"/>
                <w:szCs w:val="24"/>
              </w:rPr>
              <w:t>取代</w:t>
            </w:r>
            <w:r>
              <w:rPr>
                <w:b/>
                <w:sz w:val="18"/>
              </w:rPr>
              <w:t>Supersedes:</w:t>
            </w:r>
          </w:p>
          <w:p>
            <w:pPr>
              <w:pStyle w:val="6"/>
              <w:tabs>
                <w:tab w:val="clear" w:pos="4320"/>
                <w:tab w:val="clear" w:pos="8640"/>
              </w:tabs>
              <w:spacing w:line="440" w:lineRule="exact"/>
              <w:rPr>
                <w:rFonts w:hint="eastAsia"/>
                <w:b/>
                <w:sz w:val="18"/>
              </w:rPr>
            </w:pPr>
            <w:r>
              <w:rPr>
                <w:rFonts w:hint="eastAsia" w:ascii="宋体" w:hAnsi="宋体"/>
                <w:szCs w:val="24"/>
              </w:rPr>
              <w:t>原档号：N/A</w:t>
            </w:r>
          </w:p>
        </w:tc>
        <w:tc>
          <w:tcPr>
            <w:tcW w:w="3052" w:type="dxa"/>
          </w:tcPr>
          <w:p>
            <w:pPr>
              <w:pStyle w:val="4"/>
              <w:spacing w:line="440" w:lineRule="exact"/>
              <w:rPr>
                <w:rFonts w:hint="eastAsia"/>
                <w:sz w:val="18"/>
              </w:rPr>
            </w:pPr>
            <w:r>
              <w:rPr>
                <w:rFonts w:hint="eastAsia" w:ascii="黑体" w:hAnsi="黑体" w:eastAsia="黑体"/>
                <w:b w:val="0"/>
                <w:sz w:val="24"/>
                <w:szCs w:val="24"/>
              </w:rPr>
              <w:t>分发</w:t>
            </w:r>
            <w:r>
              <w:rPr>
                <w:sz w:val="18"/>
              </w:rPr>
              <w:t xml:space="preserve">Distribution: </w:t>
            </w:r>
          </w:p>
          <w:p>
            <w:pPr>
              <w:spacing w:line="440" w:lineRule="exact"/>
              <w:rPr>
                <w:rFonts w:hint="eastAsia"/>
              </w:rPr>
            </w:pPr>
          </w:p>
        </w:tc>
      </w:tr>
    </w:tbl>
    <w:p>
      <w:pPr>
        <w:rPr>
          <w:rFonts w:hint="eastAsia" w:ascii="新宋体" w:hAnsi="新宋体" w:eastAsia="新宋体"/>
        </w:rPr>
      </w:pPr>
    </w:p>
    <w:tbl>
      <w:tblPr>
        <w:tblStyle w:val="7"/>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exact"/>
          <w:jc w:val="center"/>
        </w:trPr>
        <w:tc>
          <w:tcPr>
            <w:tcW w:w="10085" w:type="dxa"/>
            <w:vAlign w:val="center"/>
          </w:tcPr>
          <w:p>
            <w:pPr>
              <w:spacing w:line="460" w:lineRule="exact"/>
              <w:jc w:val="both"/>
              <w:rPr>
                <w:rFonts w:hint="eastAsia"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xml:space="preserve">: </w:t>
            </w:r>
            <w:r>
              <w:rPr>
                <w:rFonts w:hint="eastAsia" w:cs="Tahoma"/>
                <w:color w:val="000000"/>
                <w:sz w:val="24"/>
                <w:szCs w:val="22"/>
              </w:rPr>
              <w:t>识别、获取、评审、更新安全生产法律法规与其他要求的管理制度</w:t>
            </w:r>
          </w:p>
        </w:tc>
      </w:tr>
    </w:tbl>
    <w:p>
      <w:pPr>
        <w:rPr>
          <w:rFonts w:hint="eastAsia" w:ascii="新宋体" w:hAnsi="新宋体" w:eastAsia="新宋体"/>
        </w:rPr>
      </w:pPr>
    </w:p>
    <w:tbl>
      <w:tblPr>
        <w:tblStyle w:val="7"/>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rFonts w:hint="eastAsia"/>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rPr>
                <w:rFonts w:hint="eastAsia" w:cs="Tahoma"/>
                <w:sz w:val="24"/>
              </w:rPr>
            </w:pPr>
            <w:r>
              <w:rPr>
                <w:rFonts w:hint="eastAsia" w:cs="Tahoma"/>
                <w:sz w:val="24"/>
              </w:rPr>
              <w:t>为了认识和了解与酒店生产活动有关的安全生产法律、法规、标准及其他要求，并将这些信息及时传达给从业人员和相关方，规范安全生产行为，特制定本制度</w:t>
            </w:r>
            <w:r>
              <w:rPr>
                <w:rFonts w:cs="Tahoma"/>
                <w:sz w:val="24"/>
              </w:rPr>
              <w:t>。</w:t>
            </w:r>
          </w:p>
          <w:p>
            <w:pPr>
              <w:ind w:left="418" w:leftChars="209"/>
              <w:rPr>
                <w:rFonts w:hint="eastAsia" w:cs="Tahoma"/>
                <w:sz w:val="24"/>
              </w:rPr>
            </w:pPr>
          </w:p>
        </w:tc>
      </w:tr>
    </w:tbl>
    <w:p>
      <w:pPr>
        <w:rPr>
          <w:rFonts w:hint="eastAsia" w:ascii="新宋体" w:hAnsi="新宋体" w:eastAsia="新宋体"/>
        </w:rPr>
      </w:pPr>
    </w:p>
    <w:tbl>
      <w:tblPr>
        <w:tblStyle w:val="7"/>
        <w:tblW w:w="10065"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65" w:type="dxa"/>
          </w:tcPr>
          <w:p>
            <w:pPr>
              <w:spacing w:line="460" w:lineRule="exact"/>
              <w:rPr>
                <w:rFonts w:hint="eastAsia"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pStyle w:val="14"/>
              <w:numPr>
                <w:ilvl w:val="0"/>
                <w:numId w:val="1"/>
              </w:numPr>
              <w:rPr>
                <w:rFonts w:hint="eastAsia" w:cs="Tahoma"/>
                <w:color w:val="000000"/>
                <w:sz w:val="24"/>
              </w:rPr>
            </w:pPr>
            <w:r>
              <w:rPr>
                <w:rFonts w:hint="eastAsia" w:cs="Tahoma"/>
                <w:color w:val="000000"/>
                <w:sz w:val="24"/>
              </w:rPr>
              <w:t>酒店安全管理组织机构负责对各部门各途径识别和获取的适用的安全生产法律法规、标准及其他要求进行批阅并批准转发至相关部门；每年组织一次“获得适用的安全年生产法律、法规、标准及其他文件”符合性评审会议；负责酒店不符合“安全生产法律、法规、标准及其他文件”项的纠正措施和预防措施、整改方案的审批、检查和验证；指定酒店行政办公室制定年度“获取适用的安全生产法律、法规、标准及其他文件”的计划和落实必要的经费。</w:t>
            </w:r>
          </w:p>
          <w:p>
            <w:pPr>
              <w:pStyle w:val="14"/>
              <w:numPr>
                <w:ilvl w:val="0"/>
                <w:numId w:val="1"/>
              </w:numPr>
              <w:rPr>
                <w:rFonts w:hint="eastAsia" w:cs="Tahoma"/>
                <w:color w:val="000000"/>
                <w:sz w:val="24"/>
              </w:rPr>
            </w:pPr>
            <w:r>
              <w:rPr>
                <w:rFonts w:hint="eastAsia" w:cs="Tahoma"/>
                <w:color w:val="000000"/>
                <w:sz w:val="24"/>
              </w:rPr>
              <w:t>各部门负责不定期获取相关的安全生产法律、法规、标准及其他要求，识别其适用性，追踪新的安全生产法律、法规及其他要求并及时交安保部备案；负责“安全生产法律、法规、标准及其他文件年度执行情况报告”</w:t>
            </w:r>
          </w:p>
          <w:p>
            <w:pPr>
              <w:pStyle w:val="14"/>
              <w:numPr>
                <w:ilvl w:val="0"/>
                <w:numId w:val="1"/>
              </w:numPr>
              <w:rPr>
                <w:rFonts w:hint="eastAsia" w:cs="Tahoma"/>
                <w:color w:val="000000"/>
                <w:sz w:val="24"/>
              </w:rPr>
            </w:pPr>
            <w:r>
              <w:rPr>
                <w:rFonts w:hint="eastAsia" w:cs="Tahoma"/>
                <w:color w:val="000000"/>
                <w:sz w:val="24"/>
              </w:rPr>
              <w:t>酒店安保部应根据安全生产法律、法规及其他要求汇总清单后，负责文件的发放。选择适合本企业的安全生产法律、法规、标准及其他要求，并定期更新。负责编制酒店“安全生产法律、法规、标准及其他文件年度评价报告”</w:t>
            </w:r>
          </w:p>
          <w:p>
            <w:pPr>
              <w:pStyle w:val="14"/>
              <w:numPr>
                <w:ilvl w:val="0"/>
                <w:numId w:val="1"/>
              </w:numPr>
              <w:rPr>
                <w:rFonts w:hint="eastAsia" w:cs="Tahoma"/>
                <w:color w:val="000000"/>
                <w:sz w:val="24"/>
              </w:rPr>
            </w:pPr>
            <w:r>
              <w:rPr>
                <w:rFonts w:hint="eastAsia" w:cs="Tahoma"/>
                <w:color w:val="000000"/>
                <w:sz w:val="24"/>
              </w:rPr>
              <w:t>各部门对本酒店适用的安全生产法律法规及其他要求及时进行宣贯，传达给相关方。</w:t>
            </w:r>
          </w:p>
        </w:tc>
      </w:tr>
    </w:tbl>
    <w:p>
      <w:pPr>
        <w:rPr>
          <w:rFonts w:hint="eastAsia" w:ascii="新宋体" w:hAnsi="新宋体" w:eastAsia="新宋体"/>
        </w:rPr>
      </w:pPr>
    </w:p>
    <w:tbl>
      <w:tblPr>
        <w:tblStyle w:val="7"/>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jc w:val="center"/>
        </w:trPr>
        <w:tc>
          <w:tcPr>
            <w:tcW w:w="5000" w:type="pct"/>
          </w:tcPr>
          <w:p>
            <w:pPr>
              <w:spacing w:line="460" w:lineRule="exact"/>
              <w:rPr>
                <w:rFonts w:hint="eastAsia"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rPr>
                <w:rFonts w:hint="eastAsia" w:cs="Tahoma"/>
                <w:color w:val="000000"/>
                <w:sz w:val="24"/>
              </w:rPr>
            </w:pPr>
            <w:r>
              <w:rPr>
                <w:rFonts w:hint="eastAsia" w:cs="Tahoma"/>
                <w:color w:val="000000"/>
                <w:sz w:val="24"/>
              </w:rPr>
              <w:t>1</w:t>
            </w:r>
            <w:r>
              <w:rPr>
                <w:rFonts w:cs="Tahoma"/>
                <w:color w:val="000000"/>
                <w:sz w:val="24"/>
              </w:rPr>
              <w:t xml:space="preserve">. </w:t>
            </w:r>
            <w:r>
              <w:rPr>
                <w:rFonts w:hint="eastAsia" w:cs="Tahoma"/>
                <w:color w:val="000000"/>
                <w:sz w:val="24"/>
              </w:rPr>
              <w:t>获取渠道和时机</w:t>
            </w:r>
          </w:p>
          <w:p>
            <w:pPr>
              <w:pStyle w:val="14"/>
              <w:ind w:left="440"/>
              <w:rPr>
                <w:rFonts w:hint="eastAsia" w:cs="Tahoma"/>
                <w:color w:val="000000"/>
                <w:sz w:val="24"/>
              </w:rPr>
            </w:pPr>
            <w:r>
              <w:rPr>
                <w:rFonts w:hint="eastAsia" w:cs="Tahoma"/>
                <w:color w:val="000000"/>
                <w:sz w:val="24"/>
              </w:rPr>
              <w:t>1.1国家安全生产法律、法规、标准及其他要求，通过官方网站、行业报刊、数据库和中介服务机构、媒体及上级有关部门等渠道获取。</w:t>
            </w:r>
          </w:p>
          <w:p>
            <w:pPr>
              <w:pStyle w:val="14"/>
              <w:ind w:left="440"/>
              <w:rPr>
                <w:rFonts w:hint="eastAsia" w:cs="Tahoma"/>
                <w:color w:val="000000"/>
                <w:sz w:val="24"/>
              </w:rPr>
            </w:pPr>
            <w:r>
              <w:rPr>
                <w:rFonts w:hint="eastAsia" w:cs="Tahoma"/>
                <w:color w:val="000000"/>
                <w:sz w:val="24"/>
              </w:rPr>
              <w:t>1.2地方性安全生产法规、标准及其他要求从各级安全生产监督行政管理部门获取。</w:t>
            </w:r>
          </w:p>
          <w:p>
            <w:pPr>
              <w:pStyle w:val="14"/>
              <w:ind w:left="440"/>
              <w:rPr>
                <w:rFonts w:hint="eastAsia" w:cs="Tahoma"/>
                <w:color w:val="000000"/>
                <w:sz w:val="24"/>
              </w:rPr>
            </w:pPr>
            <w:r>
              <w:rPr>
                <w:rFonts w:hint="eastAsia" w:cs="Tahoma"/>
                <w:color w:val="000000"/>
                <w:sz w:val="24"/>
              </w:rPr>
              <w:t>1.3酒店各部门通过上述渠道以走访、电话、传真、信件、会议等方式获取有关安全生产法律、法规及其他要求，同时建立必要的联系；</w:t>
            </w:r>
          </w:p>
          <w:p>
            <w:pPr>
              <w:pStyle w:val="14"/>
              <w:ind w:left="440"/>
              <w:rPr>
                <w:rFonts w:cs="Tahoma"/>
                <w:color w:val="000000"/>
                <w:sz w:val="24"/>
              </w:rPr>
            </w:pPr>
            <w:r>
              <w:rPr>
                <w:rFonts w:hint="eastAsia" w:cs="Tahoma"/>
                <w:color w:val="000000"/>
                <w:sz w:val="24"/>
              </w:rPr>
              <w:t>1.4酒店各职能部门通过阅读和整理有关报刊收集有关安全生产法律、法规及其他要求，登记在法律法规、标准及其他要求的获取记录表上，并及时传递到酒店安保部备案。</w:t>
            </w:r>
          </w:p>
          <w:p>
            <w:pPr>
              <w:pStyle w:val="14"/>
              <w:ind w:left="440"/>
              <w:rPr>
                <w:rFonts w:hint="eastAsia" w:cs="Tahoma"/>
                <w:color w:val="000000"/>
                <w:sz w:val="24"/>
              </w:rPr>
            </w:pPr>
            <w:r>
              <w:rPr>
                <w:rFonts w:cs="Tahoma"/>
                <w:color w:val="000000"/>
                <w:sz w:val="24"/>
              </w:rPr>
              <w:t>1.5</w:t>
            </w:r>
            <w:r>
              <w:rPr>
                <w:rFonts w:hint="eastAsia" w:cs="Tahoma"/>
                <w:color w:val="000000"/>
                <w:sz w:val="24"/>
              </w:rPr>
              <w:t>各管理部门对法律法规、标准及其他要求进行适用性判定，报酒店领导审批后，立即实施。安保部适时调整企业适用安全生产法律法规、标准和其他要求清单；每年在符合性评审会议前整理一次企业适用安全生产法律法规、标准和其他要求清单，保持所使用的法律法规处于最新状态。</w:t>
            </w:r>
          </w:p>
          <w:p>
            <w:pPr>
              <w:rPr>
                <w:rFonts w:hint="eastAsia" w:cs="Tahoma"/>
                <w:color w:val="000000"/>
                <w:sz w:val="24"/>
              </w:rPr>
            </w:pPr>
            <w:r>
              <w:rPr>
                <w:rFonts w:hint="eastAsia" w:cs="Tahoma"/>
                <w:color w:val="000000"/>
                <w:sz w:val="24"/>
              </w:rPr>
              <w:t>2</w:t>
            </w:r>
            <w:r>
              <w:rPr>
                <w:rFonts w:cs="Tahoma"/>
                <w:color w:val="000000"/>
                <w:sz w:val="24"/>
              </w:rPr>
              <w:t xml:space="preserve">. </w:t>
            </w:r>
            <w:r>
              <w:rPr>
                <w:rFonts w:hint="eastAsia" w:cs="Tahoma"/>
                <w:color w:val="000000"/>
                <w:sz w:val="24"/>
              </w:rPr>
              <w:t>识别适用性</w:t>
            </w:r>
          </w:p>
          <w:p>
            <w:pPr>
              <w:pStyle w:val="14"/>
              <w:ind w:left="440"/>
              <w:rPr>
                <w:rFonts w:hint="eastAsia" w:cs="Tahoma"/>
                <w:color w:val="000000"/>
                <w:sz w:val="24"/>
              </w:rPr>
            </w:pPr>
            <w:r>
              <w:rPr>
                <w:rFonts w:hint="eastAsia" w:cs="Tahoma"/>
                <w:color w:val="000000"/>
                <w:sz w:val="24"/>
              </w:rPr>
              <w:t>2.1安保部根据公司的特点，国家标准、行业标准，识别安全生产法律、法规及其他要求的适用性，并每年进行一次评审工作。</w:t>
            </w:r>
          </w:p>
          <w:p>
            <w:pPr>
              <w:pStyle w:val="14"/>
              <w:ind w:left="440"/>
              <w:rPr>
                <w:rFonts w:hint="eastAsia" w:cs="Tahoma"/>
                <w:color w:val="000000"/>
                <w:sz w:val="24"/>
              </w:rPr>
            </w:pPr>
            <w:r>
              <w:rPr>
                <w:rFonts w:hint="eastAsia" w:cs="Tahoma"/>
                <w:color w:val="000000"/>
                <w:sz w:val="24"/>
              </w:rPr>
              <w:t>2.2安保部将各部门应将获取的有关安全生产法规、标准及其他要求中的适用条款对从业人员和相关方传达。</w:t>
            </w:r>
          </w:p>
          <w:p>
            <w:pPr>
              <w:pStyle w:val="14"/>
              <w:ind w:left="440"/>
              <w:rPr>
                <w:rFonts w:hint="eastAsia" w:cs="Tahoma"/>
                <w:color w:val="000000"/>
                <w:sz w:val="24"/>
              </w:rPr>
            </w:pPr>
            <w:r>
              <w:rPr>
                <w:rFonts w:hint="eastAsia" w:cs="Tahoma"/>
                <w:color w:val="000000"/>
                <w:sz w:val="24"/>
              </w:rPr>
              <w:t>2.3当现行的安全生产法规、标准及其他要求更新时，应重新对相应的安全生产法规、标准及其他要求进行识别。</w:t>
            </w:r>
          </w:p>
          <w:p>
            <w:pPr>
              <w:rPr>
                <w:rFonts w:hint="eastAsia" w:cs="Tahoma"/>
                <w:color w:val="000000"/>
                <w:sz w:val="24"/>
              </w:rPr>
            </w:pPr>
            <w:r>
              <w:rPr>
                <w:rFonts w:hint="eastAsia" w:cs="Tahoma"/>
                <w:color w:val="000000"/>
                <w:sz w:val="24"/>
              </w:rPr>
              <w:t>3</w:t>
            </w:r>
            <w:r>
              <w:rPr>
                <w:rFonts w:cs="Tahoma"/>
                <w:color w:val="000000"/>
                <w:sz w:val="24"/>
              </w:rPr>
              <w:t xml:space="preserve">. </w:t>
            </w:r>
            <w:r>
              <w:rPr>
                <w:rFonts w:hint="eastAsia" w:cs="Tahoma"/>
                <w:color w:val="000000"/>
                <w:sz w:val="24"/>
              </w:rPr>
              <w:t>安全生产法规、标准及其他要求的管理</w:t>
            </w:r>
          </w:p>
          <w:p>
            <w:pPr>
              <w:pStyle w:val="14"/>
              <w:ind w:left="440"/>
              <w:rPr>
                <w:rFonts w:hint="eastAsia" w:cs="Tahoma"/>
                <w:color w:val="000000"/>
                <w:sz w:val="24"/>
              </w:rPr>
            </w:pPr>
            <w:r>
              <w:rPr>
                <w:rFonts w:hint="eastAsia" w:cs="Tahoma"/>
                <w:color w:val="000000"/>
                <w:sz w:val="24"/>
              </w:rPr>
              <w:t>3.1各部门应对本部门获取和识别的安全标准妥善保管。</w:t>
            </w:r>
          </w:p>
          <w:p>
            <w:pPr>
              <w:pStyle w:val="14"/>
              <w:ind w:left="440"/>
              <w:rPr>
                <w:rFonts w:hint="eastAsia" w:cs="Tahoma"/>
                <w:color w:val="000000"/>
                <w:sz w:val="24"/>
              </w:rPr>
            </w:pPr>
            <w:r>
              <w:rPr>
                <w:rFonts w:hint="eastAsia" w:cs="Tahoma"/>
                <w:color w:val="000000"/>
                <w:sz w:val="24"/>
              </w:rPr>
              <w:t>3.2安保部应对各部门已获取和识别的安全标准和安全生产法规、标准及其他要求进行汇总，建立安全生产法规、标准及其他要求档案，并监督检查各部门的执行情况。</w:t>
            </w:r>
          </w:p>
          <w:p>
            <w:pPr>
              <w:pStyle w:val="14"/>
              <w:ind w:left="440"/>
              <w:rPr>
                <w:rFonts w:hint="eastAsia" w:cs="Tahoma"/>
                <w:color w:val="000000"/>
                <w:sz w:val="24"/>
              </w:rPr>
            </w:pPr>
            <w:r>
              <w:rPr>
                <w:rFonts w:hint="eastAsia" w:cs="Tahoma"/>
                <w:color w:val="000000"/>
                <w:sz w:val="24"/>
              </w:rPr>
              <w:t>3.3安保部应将适用的安全生产法规、标准及其他要求及时转发给相关部门，相关部门应对从业人员进行宣传和培训，并传达给相关方。</w:t>
            </w:r>
          </w:p>
          <w:p>
            <w:pPr>
              <w:pStyle w:val="14"/>
              <w:ind w:left="440"/>
              <w:rPr>
                <w:rFonts w:hint="eastAsia" w:cs="Tahoma"/>
                <w:color w:val="000000"/>
                <w:sz w:val="24"/>
              </w:rPr>
            </w:pPr>
            <w:r>
              <w:rPr>
                <w:rFonts w:hint="eastAsia" w:cs="Tahoma"/>
                <w:color w:val="000000"/>
                <w:sz w:val="24"/>
              </w:rPr>
              <w:t>3.4安保部应将过期或作废的安全生产法律、法规文件及时收回并进行管理。</w:t>
            </w:r>
          </w:p>
          <w:p>
            <w:pPr>
              <w:rPr>
                <w:rFonts w:hint="eastAsia" w:cs="Tahoma"/>
                <w:color w:val="000000"/>
                <w:sz w:val="24"/>
              </w:rPr>
            </w:pPr>
            <w:r>
              <w:rPr>
                <w:rFonts w:hint="eastAsia" w:cs="Tahoma"/>
                <w:color w:val="000000"/>
                <w:sz w:val="24"/>
              </w:rPr>
              <w:t>4</w:t>
            </w:r>
            <w:r>
              <w:rPr>
                <w:rFonts w:cs="Tahoma"/>
                <w:color w:val="000000"/>
                <w:sz w:val="24"/>
              </w:rPr>
              <w:t xml:space="preserve">. </w:t>
            </w:r>
            <w:r>
              <w:rPr>
                <w:rFonts w:hint="eastAsia" w:cs="Tahoma"/>
                <w:color w:val="000000"/>
                <w:sz w:val="24"/>
              </w:rPr>
              <w:t>符合性评价</w:t>
            </w:r>
          </w:p>
          <w:p>
            <w:pPr>
              <w:pStyle w:val="14"/>
              <w:ind w:left="440"/>
              <w:rPr>
                <w:rFonts w:hint="eastAsia" w:cs="Tahoma"/>
                <w:color w:val="000000"/>
                <w:sz w:val="24"/>
              </w:rPr>
            </w:pPr>
            <w:r>
              <w:rPr>
                <w:rFonts w:hint="eastAsia" w:cs="Tahoma"/>
                <w:color w:val="000000"/>
                <w:sz w:val="24"/>
              </w:rPr>
              <w:t>4.1各部门于“适用的安全生产法律、法规、标准及其他要求符合性评价会议”前将本部门“安全生产法律、法规、标准及其他文件年度执行情况报告”递交给安保部。</w:t>
            </w:r>
          </w:p>
          <w:p>
            <w:pPr>
              <w:pStyle w:val="14"/>
              <w:ind w:left="440"/>
              <w:rPr>
                <w:rFonts w:hint="eastAsia" w:cs="Tahoma"/>
                <w:color w:val="000000"/>
                <w:sz w:val="24"/>
              </w:rPr>
            </w:pPr>
            <w:r>
              <w:rPr>
                <w:rFonts w:hint="eastAsia" w:cs="Tahoma"/>
                <w:color w:val="000000"/>
                <w:sz w:val="24"/>
              </w:rPr>
              <w:t>4.2由安保部及管理部于“适用的安全生产法律、法规、标准及其他要求符合性评价会议”前，编制“安全生产法律、法规、标准及其他文件年度评价报告”</w:t>
            </w:r>
          </w:p>
          <w:p>
            <w:pPr>
              <w:pStyle w:val="14"/>
              <w:ind w:left="440"/>
              <w:rPr>
                <w:rFonts w:hint="eastAsia" w:cs="Tahoma"/>
                <w:color w:val="000000"/>
                <w:sz w:val="24"/>
              </w:rPr>
            </w:pPr>
            <w:r>
              <w:rPr>
                <w:rFonts w:hint="eastAsia" w:cs="Tahoma"/>
                <w:color w:val="000000"/>
                <w:sz w:val="24"/>
              </w:rPr>
              <w:t>4.3主要负责人应每年组织一次对适用的安全生产法律、法规、标准及其他要求进行符合性评价，评审“安全生产法律、法规、标准及其他文件年度评价报告”、“安全生产法律、法规、标准及其他文件年度执行情况报告”。消除违规现象和行为，从而确保公司和从业人员相关方能够按照法律法规的要求进行安全生产和开展业务活动，对于不符合的安全生产法律、法规、标准及其他要求，提出不符合项整改要求。</w:t>
            </w:r>
          </w:p>
          <w:p>
            <w:pPr>
              <w:pStyle w:val="14"/>
              <w:ind w:left="440"/>
              <w:rPr>
                <w:rFonts w:hint="eastAsia" w:cs="Tahoma"/>
                <w:color w:val="000000"/>
                <w:sz w:val="24"/>
              </w:rPr>
            </w:pPr>
            <w:r>
              <w:rPr>
                <w:rFonts w:hint="eastAsia" w:cs="Tahoma"/>
                <w:color w:val="000000"/>
                <w:sz w:val="24"/>
              </w:rPr>
              <w:t>4.4各部门对评价出的“安全生产法律、法规、标准及其他文件” 不符合项提出纠正措施和预防措施、整改方案。</w:t>
            </w:r>
          </w:p>
          <w:p>
            <w:pPr>
              <w:pStyle w:val="14"/>
              <w:ind w:left="440"/>
              <w:rPr>
                <w:rFonts w:hint="eastAsia" w:cs="Tahoma"/>
                <w:color w:val="000000"/>
                <w:sz w:val="24"/>
              </w:rPr>
            </w:pPr>
            <w:r>
              <w:rPr>
                <w:rFonts w:hint="eastAsia" w:cs="Tahoma"/>
                <w:color w:val="000000"/>
                <w:sz w:val="24"/>
              </w:rPr>
              <w:t>4.5酒店主要负责人对“安全生产法律、法规、标准及其他文件” 不符合项提出纠正措施和预防措施、整改方案进行审批、检查和验证。</w:t>
            </w:r>
          </w:p>
          <w:p>
            <w:pPr>
              <w:pStyle w:val="14"/>
              <w:ind w:left="440"/>
              <w:rPr>
                <w:rFonts w:hint="eastAsia" w:cs="Tahoma"/>
                <w:color w:val="000000"/>
                <w:sz w:val="24"/>
              </w:rPr>
            </w:pPr>
            <w:r>
              <w:rPr>
                <w:rFonts w:hint="eastAsia" w:cs="Tahoma"/>
                <w:color w:val="000000"/>
                <w:sz w:val="24"/>
              </w:rPr>
              <w:t>4.6各部门对“安全生产法律、法规、标准及其他文件” 不符合项进行纠正、整改。</w:t>
            </w:r>
          </w:p>
          <w:p>
            <w:pPr>
              <w:pStyle w:val="14"/>
              <w:ind w:left="440"/>
              <w:rPr>
                <w:rFonts w:hint="eastAsia" w:ascii="Tahoma" w:hAnsi="Tahoma" w:cs="Tahoma"/>
              </w:rPr>
            </w:pPr>
            <w:r>
              <w:rPr>
                <w:rFonts w:hint="eastAsia" w:cs="Tahoma"/>
                <w:color w:val="000000"/>
                <w:sz w:val="24"/>
              </w:rPr>
              <w:t>4.7各部门制定“安全生产法律、法规、标准及其他文件”保持或持续改进的计划。</w:t>
            </w:r>
          </w:p>
        </w:tc>
      </w:tr>
    </w:tbl>
    <w:p>
      <w:pPr>
        <w:rPr>
          <w:rFonts w:hint="eastAsia" w:ascii="新宋体" w:hAnsi="新宋体" w:eastAsia="新宋体"/>
        </w:rPr>
      </w:pPr>
    </w:p>
    <w:sectPr>
      <w:headerReference r:id="rId3" w:type="default"/>
      <w:pgSz w:w="11906" w:h="16838"/>
      <w:pgMar w:top="2045" w:right="1134" w:bottom="1246" w:left="1134" w:header="623" w:footer="948"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lang w:val="en-US" w:eastAsia="zh-CN"/>
      </w:rPr>
      <w:drawing>
        <wp:inline distT="0" distB="0" distL="0" distR="0">
          <wp:extent cx="2844800" cy="438150"/>
          <wp:effectExtent l="0" t="0" r="0" b="0"/>
          <wp:docPr id="1"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4800"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28311F"/>
    <w:multiLevelType w:val="multilevel"/>
    <w:tmpl w:val="3028311F"/>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06FC8"/>
    <w:rsid w:val="0002776A"/>
    <w:rsid w:val="000335C9"/>
    <w:rsid w:val="00046A36"/>
    <w:rsid w:val="00050C45"/>
    <w:rsid w:val="000543FA"/>
    <w:rsid w:val="000621A7"/>
    <w:rsid w:val="0008150A"/>
    <w:rsid w:val="000D01DB"/>
    <w:rsid w:val="000D4752"/>
    <w:rsid w:val="00120D2E"/>
    <w:rsid w:val="00130BA8"/>
    <w:rsid w:val="00161CEB"/>
    <w:rsid w:val="00162D10"/>
    <w:rsid w:val="00181172"/>
    <w:rsid w:val="00197597"/>
    <w:rsid w:val="001A564E"/>
    <w:rsid w:val="001B097D"/>
    <w:rsid w:val="001B2B1F"/>
    <w:rsid w:val="001B384A"/>
    <w:rsid w:val="001C40B7"/>
    <w:rsid w:val="00206718"/>
    <w:rsid w:val="00207345"/>
    <w:rsid w:val="00221B36"/>
    <w:rsid w:val="002445F6"/>
    <w:rsid w:val="00276B0A"/>
    <w:rsid w:val="00281311"/>
    <w:rsid w:val="00286EAE"/>
    <w:rsid w:val="002A5874"/>
    <w:rsid w:val="002D6DB2"/>
    <w:rsid w:val="002E6CB2"/>
    <w:rsid w:val="002E7079"/>
    <w:rsid w:val="002F2B67"/>
    <w:rsid w:val="002F7FEA"/>
    <w:rsid w:val="00302D8A"/>
    <w:rsid w:val="00304665"/>
    <w:rsid w:val="00304B2C"/>
    <w:rsid w:val="00313474"/>
    <w:rsid w:val="003525FA"/>
    <w:rsid w:val="003668FA"/>
    <w:rsid w:val="00375140"/>
    <w:rsid w:val="0038192F"/>
    <w:rsid w:val="00384D0D"/>
    <w:rsid w:val="0039524D"/>
    <w:rsid w:val="003A4CBD"/>
    <w:rsid w:val="003A53EF"/>
    <w:rsid w:val="003A5CC9"/>
    <w:rsid w:val="003B0C73"/>
    <w:rsid w:val="003B6F83"/>
    <w:rsid w:val="003D3658"/>
    <w:rsid w:val="003E7575"/>
    <w:rsid w:val="003F2F2E"/>
    <w:rsid w:val="003F7340"/>
    <w:rsid w:val="00405C22"/>
    <w:rsid w:val="00407E73"/>
    <w:rsid w:val="00414CB9"/>
    <w:rsid w:val="0042436E"/>
    <w:rsid w:val="00427F48"/>
    <w:rsid w:val="004339CE"/>
    <w:rsid w:val="0047789E"/>
    <w:rsid w:val="004A6727"/>
    <w:rsid w:val="004B6A8B"/>
    <w:rsid w:val="004C25BA"/>
    <w:rsid w:val="004C2744"/>
    <w:rsid w:val="004D5A23"/>
    <w:rsid w:val="004D61E0"/>
    <w:rsid w:val="004F154B"/>
    <w:rsid w:val="005040B0"/>
    <w:rsid w:val="00506943"/>
    <w:rsid w:val="00527A81"/>
    <w:rsid w:val="0054332C"/>
    <w:rsid w:val="0055047A"/>
    <w:rsid w:val="00553194"/>
    <w:rsid w:val="00564A52"/>
    <w:rsid w:val="005652E7"/>
    <w:rsid w:val="0058096E"/>
    <w:rsid w:val="00584434"/>
    <w:rsid w:val="00585B00"/>
    <w:rsid w:val="00585F93"/>
    <w:rsid w:val="00587F0A"/>
    <w:rsid w:val="0059229E"/>
    <w:rsid w:val="0059530F"/>
    <w:rsid w:val="005C213F"/>
    <w:rsid w:val="005D4903"/>
    <w:rsid w:val="005F5A3D"/>
    <w:rsid w:val="005F64FB"/>
    <w:rsid w:val="00611F0C"/>
    <w:rsid w:val="00614A37"/>
    <w:rsid w:val="0063192E"/>
    <w:rsid w:val="00650080"/>
    <w:rsid w:val="00666050"/>
    <w:rsid w:val="00671EDD"/>
    <w:rsid w:val="0069752D"/>
    <w:rsid w:val="006A138A"/>
    <w:rsid w:val="006B0BE0"/>
    <w:rsid w:val="006D02E6"/>
    <w:rsid w:val="006F030A"/>
    <w:rsid w:val="00700A85"/>
    <w:rsid w:val="0070349C"/>
    <w:rsid w:val="00703FA7"/>
    <w:rsid w:val="00717FD6"/>
    <w:rsid w:val="00721096"/>
    <w:rsid w:val="00730BF9"/>
    <w:rsid w:val="00746ECB"/>
    <w:rsid w:val="00765BA0"/>
    <w:rsid w:val="007860D7"/>
    <w:rsid w:val="00790461"/>
    <w:rsid w:val="00794C81"/>
    <w:rsid w:val="007C21AD"/>
    <w:rsid w:val="007E7B98"/>
    <w:rsid w:val="00812309"/>
    <w:rsid w:val="008407EC"/>
    <w:rsid w:val="00842CC2"/>
    <w:rsid w:val="00843219"/>
    <w:rsid w:val="0084726B"/>
    <w:rsid w:val="00866B5F"/>
    <w:rsid w:val="00873CC2"/>
    <w:rsid w:val="00887351"/>
    <w:rsid w:val="008C62F1"/>
    <w:rsid w:val="008F140E"/>
    <w:rsid w:val="00911E58"/>
    <w:rsid w:val="00916FBB"/>
    <w:rsid w:val="0093543A"/>
    <w:rsid w:val="0097125D"/>
    <w:rsid w:val="00972499"/>
    <w:rsid w:val="00977DB4"/>
    <w:rsid w:val="00990398"/>
    <w:rsid w:val="00990F1A"/>
    <w:rsid w:val="00992E87"/>
    <w:rsid w:val="009B3EBE"/>
    <w:rsid w:val="009B4F5C"/>
    <w:rsid w:val="009C3032"/>
    <w:rsid w:val="009C440E"/>
    <w:rsid w:val="009C481D"/>
    <w:rsid w:val="009E5F72"/>
    <w:rsid w:val="009F0C81"/>
    <w:rsid w:val="009F47FC"/>
    <w:rsid w:val="00A12B69"/>
    <w:rsid w:val="00A23DE0"/>
    <w:rsid w:val="00A42CB6"/>
    <w:rsid w:val="00A440F3"/>
    <w:rsid w:val="00A55FAE"/>
    <w:rsid w:val="00A57A40"/>
    <w:rsid w:val="00A659CB"/>
    <w:rsid w:val="00A7650C"/>
    <w:rsid w:val="00AB32F3"/>
    <w:rsid w:val="00AC10AF"/>
    <w:rsid w:val="00AC56E2"/>
    <w:rsid w:val="00AC5C73"/>
    <w:rsid w:val="00AD649E"/>
    <w:rsid w:val="00AD6FE1"/>
    <w:rsid w:val="00AD72D5"/>
    <w:rsid w:val="00AE32BE"/>
    <w:rsid w:val="00AF0CE1"/>
    <w:rsid w:val="00B0409C"/>
    <w:rsid w:val="00B23E24"/>
    <w:rsid w:val="00B602B4"/>
    <w:rsid w:val="00B61D69"/>
    <w:rsid w:val="00BB1DC8"/>
    <w:rsid w:val="00BB3A64"/>
    <w:rsid w:val="00BB4775"/>
    <w:rsid w:val="00BB5FF9"/>
    <w:rsid w:val="00BD2F06"/>
    <w:rsid w:val="00BD7DEB"/>
    <w:rsid w:val="00BF0678"/>
    <w:rsid w:val="00BF21A1"/>
    <w:rsid w:val="00BF5C35"/>
    <w:rsid w:val="00C0048A"/>
    <w:rsid w:val="00C01B12"/>
    <w:rsid w:val="00C17738"/>
    <w:rsid w:val="00C233FA"/>
    <w:rsid w:val="00C67E25"/>
    <w:rsid w:val="00C7671D"/>
    <w:rsid w:val="00C834FE"/>
    <w:rsid w:val="00CA6F08"/>
    <w:rsid w:val="00CB10DD"/>
    <w:rsid w:val="00CB6AFD"/>
    <w:rsid w:val="00CC2474"/>
    <w:rsid w:val="00CD2022"/>
    <w:rsid w:val="00CE1BE9"/>
    <w:rsid w:val="00CF7B6D"/>
    <w:rsid w:val="00D01EE0"/>
    <w:rsid w:val="00D25DCE"/>
    <w:rsid w:val="00D559E9"/>
    <w:rsid w:val="00D64916"/>
    <w:rsid w:val="00D72EFC"/>
    <w:rsid w:val="00D771A6"/>
    <w:rsid w:val="00DA1092"/>
    <w:rsid w:val="00DD52A8"/>
    <w:rsid w:val="00DE06D9"/>
    <w:rsid w:val="00DE3216"/>
    <w:rsid w:val="00E06556"/>
    <w:rsid w:val="00E25095"/>
    <w:rsid w:val="00E467A8"/>
    <w:rsid w:val="00E470DF"/>
    <w:rsid w:val="00E540A4"/>
    <w:rsid w:val="00E65060"/>
    <w:rsid w:val="00E77815"/>
    <w:rsid w:val="00E85B6B"/>
    <w:rsid w:val="00E902FC"/>
    <w:rsid w:val="00EC7BDA"/>
    <w:rsid w:val="00EE0D3B"/>
    <w:rsid w:val="00EE4626"/>
    <w:rsid w:val="00EE527B"/>
    <w:rsid w:val="00EE5B26"/>
    <w:rsid w:val="00F17499"/>
    <w:rsid w:val="00F47846"/>
    <w:rsid w:val="00F50816"/>
    <w:rsid w:val="00F66FAC"/>
    <w:rsid w:val="00F75989"/>
    <w:rsid w:val="00F86058"/>
    <w:rsid w:val="00FC6704"/>
    <w:rsid w:val="00FE5BF7"/>
    <w:rsid w:val="00FF616D"/>
    <w:rsid w:val="168A31F0"/>
    <w:rsid w:val="1CC50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2"/>
    <w:basedOn w:val="1"/>
    <w:next w:val="1"/>
    <w:link w:val="10"/>
    <w:qFormat/>
    <w:uiPriority w:val="0"/>
    <w:pPr>
      <w:keepNext/>
      <w:keepLines/>
      <w:widowControl w:val="0"/>
      <w:spacing w:before="260" w:after="260" w:line="416" w:lineRule="auto"/>
      <w:jc w:val="both"/>
      <w:outlineLvl w:val="1"/>
    </w:pPr>
    <w:rPr>
      <w:rFonts w:ascii="Arial" w:hAnsi="Arial" w:eastAsia="黑体"/>
      <w:b/>
      <w:bCs/>
      <w:kern w:val="2"/>
      <w:sz w:val="32"/>
      <w:szCs w:val="32"/>
    </w:rPr>
  </w:style>
  <w:style w:type="paragraph" w:styleId="4">
    <w:name w:val="heading 3"/>
    <w:basedOn w:val="1"/>
    <w:next w:val="1"/>
    <w:qFormat/>
    <w:uiPriority w:val="0"/>
    <w:pPr>
      <w:keepNext/>
      <w:outlineLvl w:val="2"/>
    </w:pPr>
    <w:rPr>
      <w:b/>
      <w:sz w:val="16"/>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link w:val="11"/>
    <w:uiPriority w:val="99"/>
    <w:pPr>
      <w:tabs>
        <w:tab w:val="center" w:pos="4320"/>
        <w:tab w:val="right" w:pos="8640"/>
      </w:tabs>
    </w:pPr>
    <w:rPr>
      <w:sz w:val="24"/>
    </w:rPr>
  </w:style>
  <w:style w:type="character" w:styleId="9">
    <w:name w:val="page number"/>
    <w:uiPriority w:val="0"/>
  </w:style>
  <w:style w:type="character" w:customStyle="1" w:styleId="10">
    <w:name w:val="标题 2 字符"/>
    <w:link w:val="3"/>
    <w:uiPriority w:val="0"/>
    <w:rPr>
      <w:rFonts w:ascii="Arial" w:hAnsi="Arial" w:eastAsia="黑体"/>
      <w:b/>
      <w:bCs/>
      <w:kern w:val="2"/>
      <w:sz w:val="32"/>
      <w:szCs w:val="32"/>
    </w:rPr>
  </w:style>
  <w:style w:type="character" w:customStyle="1" w:styleId="11">
    <w:name w:val="页眉 字符"/>
    <w:link w:val="6"/>
    <w:uiPriority w:val="99"/>
    <w:rPr>
      <w:sz w:val="24"/>
    </w:rPr>
  </w:style>
  <w:style w:type="character" w:customStyle="1" w:styleId="12">
    <w:name w:val="lijuyuanxing"/>
    <w:uiPriority w:val="0"/>
  </w:style>
  <w:style w:type="character" w:customStyle="1" w:styleId="13">
    <w:name w:val="heighlight"/>
    <w:uiPriority w:val="0"/>
  </w:style>
  <w:style w:type="paragraph" w:styleId="14">
    <w:name w:val="List Paragraph"/>
    <w:basedOn w:val="1"/>
    <w:qFormat/>
    <w:uiPriority w:val="34"/>
    <w:pPr>
      <w:spacing w:after="200" w:line="276" w:lineRule="auto"/>
      <w:ind w:left="720"/>
      <w:contextualSpacing/>
    </w:pPr>
    <w:rPr>
      <w:rFonts w:ascii="Calibri" w:hAnsi="Calibri"/>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3</Pages>
  <Words>324</Words>
  <Characters>1847</Characters>
  <Lines>15</Lines>
  <Paragraphs>4</Paragraphs>
  <TotalTime>0</TotalTime>
  <ScaleCrop>false</ScaleCrop>
  <LinksUpToDate>false</LinksUpToDate>
  <CharactersWithSpaces>2167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2023-11-21T13:18:00Z</dcterms:created>
  <dc:creator>lucy</dc:creator>
  <cp:lastModifiedBy>冯亮</cp:lastModifiedBy>
  <dcterms:modified xsi:type="dcterms:W3CDTF">2023-11-24T03:23:58Z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9BDE8284DC1F4B529FE2810C148D740C</vt:lpwstr>
  </property>
</Properties>
</file>