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100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0"/>
        <w:gridCol w:w="3603"/>
        <w:gridCol w:w="30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0075" w:type="dxa"/>
            <w:gridSpan w:val="3"/>
          </w:tcPr>
          <w:p>
            <w:pPr>
              <w:pStyle w:val="2"/>
              <w:jc w:val="center"/>
              <w:rPr>
                <w:i w:val="0"/>
                <w:sz w:val="24"/>
              </w:rPr>
            </w:pPr>
            <w:r>
              <w:rPr>
                <w:rFonts w:hint="eastAsia" w:ascii="黑体" w:hAnsi="黑体" w:eastAsia="黑体"/>
                <w:b w:val="0"/>
                <w:i w:val="0"/>
                <w:sz w:val="30"/>
                <w:szCs w:val="30"/>
              </w:rPr>
              <w:t>政策与程序</w:t>
            </w:r>
            <w:r>
              <w:rPr>
                <w:i w:val="0"/>
                <w:color w:val="000000"/>
              </w:rPr>
              <w:t>POLICY AND PROCEDURES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  <w:jc w:val="center"/>
        </w:trPr>
        <w:tc>
          <w:tcPr>
            <w:tcW w:w="3420" w:type="dxa"/>
          </w:tcPr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档号</w:t>
            </w:r>
            <w:r>
              <w:rPr>
                <w:b/>
                <w:sz w:val="18"/>
                <w:lang w:val="en-US"/>
              </w:rPr>
              <w:t>Policy No.</w:t>
            </w:r>
            <w:r>
              <w:rPr>
                <w:rFonts w:hint="eastAsia" w:ascii="宋体" w:hAnsi="宋体"/>
                <w:sz w:val="28"/>
                <w:lang w:val="en-US"/>
              </w:rPr>
              <w:t>：</w:t>
            </w:r>
            <w:r>
              <w:rPr>
                <w:rFonts w:hint="eastAsia"/>
                <w:szCs w:val="24"/>
                <w:lang w:val="en-US"/>
              </w:rPr>
              <w:t>SEC/SOP/</w:t>
            </w:r>
            <w:r>
              <w:rPr>
                <w:szCs w:val="24"/>
                <w:lang w:val="en-US"/>
              </w:rPr>
              <w:t>017</w:t>
            </w:r>
          </w:p>
        </w:tc>
        <w:tc>
          <w:tcPr>
            <w:tcW w:w="3603" w:type="dxa"/>
          </w:tcPr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部门</w:t>
            </w:r>
            <w:r>
              <w:rPr>
                <w:b/>
                <w:sz w:val="18"/>
                <w:lang w:val="en-US"/>
              </w:rPr>
              <w:t>Department</w:t>
            </w:r>
            <w:r>
              <w:rPr>
                <w:rFonts w:hint="eastAsia" w:ascii="宋体" w:hAnsi="宋体"/>
                <w:sz w:val="28"/>
                <w:lang w:val="en-US"/>
              </w:rPr>
              <w:t>：</w:t>
            </w:r>
            <w:r>
              <w:rPr>
                <w:rFonts w:hint="eastAsia" w:ascii="宋体" w:hAnsi="宋体" w:cs="Tahoma"/>
                <w:szCs w:val="24"/>
                <w:lang w:val="en-US"/>
              </w:rPr>
              <w:t>保安部Security</w:t>
            </w:r>
          </w:p>
        </w:tc>
        <w:tc>
          <w:tcPr>
            <w:tcW w:w="3052" w:type="dxa"/>
            <w:vAlign w:val="center"/>
          </w:tcPr>
          <w:p>
            <w:pPr>
              <w:pStyle w:val="6"/>
              <w:tabs>
                <w:tab w:val="clear" w:pos="4320"/>
                <w:tab w:val="clear" w:pos="8640"/>
              </w:tabs>
              <w:jc w:val="both"/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分部门</w:t>
            </w:r>
            <w:r>
              <w:rPr>
                <w:rFonts w:hint="eastAsia"/>
                <w:b/>
                <w:sz w:val="18"/>
                <w:lang w:val="en-US"/>
              </w:rPr>
              <w:t>Section</w:t>
            </w:r>
            <w:r>
              <w:rPr>
                <w:rFonts w:hint="eastAsia" w:ascii="宋体" w:hAnsi="宋体"/>
                <w:sz w:val="28"/>
                <w:lang w:val="en-US"/>
              </w:rPr>
              <w:t>：</w:t>
            </w:r>
            <w:r>
              <w:rPr>
                <w:rFonts w:hint="eastAsia" w:ascii="宋体" w:hAnsi="宋体"/>
                <w:szCs w:val="24"/>
                <w:lang w:val="en-US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0" w:hRule="atLeast"/>
          <w:jc w:val="center"/>
        </w:trPr>
        <w:tc>
          <w:tcPr>
            <w:tcW w:w="3420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00" w:lineRule="exact"/>
              <w:rPr>
                <w:rFonts w:hint="eastAsia"/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编订</w:t>
            </w:r>
            <w:r>
              <w:rPr>
                <w:b/>
                <w:sz w:val="18"/>
                <w:lang w:val="en-US"/>
              </w:rPr>
              <w:t>Prepared by: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szCs w:val="24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签名</w:t>
            </w:r>
            <w:r>
              <w:rPr>
                <w:rFonts w:hint="eastAsia"/>
                <w:szCs w:val="24"/>
                <w:lang w:val="en-US"/>
              </w:rPr>
              <w:t>：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  <w:lang w:val="en-US"/>
              </w:rPr>
            </w:pPr>
            <w:r>
              <w:rPr>
                <w:b/>
                <w:sz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0" allowOverlap="1">
                      <wp:simplePos x="0" y="0"/>
                      <wp:positionH relativeFrom="column">
                        <wp:posOffset>457200</wp:posOffset>
                      </wp:positionH>
                      <wp:positionV relativeFrom="paragraph">
                        <wp:posOffset>44450</wp:posOffset>
                      </wp:positionV>
                      <wp:extent cx="0" cy="0"/>
                      <wp:effectExtent l="5715" t="5080" r="13335" b="13970"/>
                      <wp:wrapNone/>
                      <wp:docPr id="1" name="Lin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2" o:spid="_x0000_s1026" o:spt="20" style="position:absolute;left:0pt;margin-left:36pt;margin-top:3.5pt;height:0pt;width:0pt;z-index:251659264;mso-width-relative:page;mso-height-relative:page;" filled="f" stroked="t" coordsize="21600,21600" o:allowincell="f" o:gfxdata="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h0GxSdAAAAAFAQAADwAAAAAAAAABACAAAAAiAAAAZHJzL2Rvd25yZXYueG1sUEsBAhQA&#10;FAAAAAgAh07iQFLTk5zBAQAAmQMAAA4AAAAAAAAAAQAgAAAAHwEAAGRycy9lMm9Eb2MueG1sUEsF&#10;BgAAAAAGAAYAWQEAAFI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b/>
                <w:sz w:val="16"/>
                <w:lang w:val="en-US"/>
              </w:rPr>
              <w:t xml:space="preserve">Signature: </w:t>
            </w:r>
          </w:p>
        </w:tc>
        <w:tc>
          <w:tcPr>
            <w:tcW w:w="3603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00" w:lineRule="exact"/>
              <w:rPr>
                <w:rFonts w:hint="eastAsia"/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发布</w:t>
            </w:r>
            <w:r>
              <w:rPr>
                <w:b/>
                <w:sz w:val="18"/>
                <w:lang w:val="en-US"/>
              </w:rPr>
              <w:t>Issued by: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szCs w:val="24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签名</w:t>
            </w:r>
            <w:r>
              <w:rPr>
                <w:rFonts w:hint="eastAsia"/>
                <w:szCs w:val="24"/>
                <w:lang w:val="en-US"/>
              </w:rPr>
              <w:t>：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  <w:lang w:val="en-US"/>
              </w:rPr>
            </w:pPr>
            <w:r>
              <w:rPr>
                <w:b/>
                <w:sz w:val="16"/>
                <w:lang w:val="en-US"/>
              </w:rPr>
              <w:t>Signature:</w:t>
            </w:r>
          </w:p>
        </w:tc>
        <w:tc>
          <w:tcPr>
            <w:tcW w:w="3052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00" w:lineRule="exact"/>
              <w:rPr>
                <w:rFonts w:hint="eastAsia"/>
                <w:b/>
                <w:sz w:val="16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总经理审批</w:t>
            </w:r>
            <w:r>
              <w:rPr>
                <w:b/>
                <w:sz w:val="18"/>
                <w:lang w:val="en-US"/>
              </w:rPr>
              <w:t>GM approval: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szCs w:val="24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签名</w:t>
            </w:r>
            <w:r>
              <w:rPr>
                <w:rFonts w:hint="eastAsia"/>
                <w:szCs w:val="24"/>
                <w:lang w:val="en-US"/>
              </w:rPr>
              <w:t>：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  <w:lang w:val="en-US"/>
              </w:rPr>
            </w:pPr>
            <w:r>
              <w:rPr>
                <w:b/>
                <w:sz w:val="16"/>
                <w:lang w:val="en-US"/>
              </w:rPr>
              <w:t>Signature: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0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生效日期</w:t>
            </w:r>
            <w:r>
              <w:rPr>
                <w:b/>
                <w:sz w:val="18"/>
                <w:lang w:val="en-US"/>
              </w:rPr>
              <w:t xml:space="preserve">Effective Date: 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  <w:lang w:val="en-US"/>
              </w:rPr>
            </w:pPr>
            <w:r>
              <w:rPr>
                <w:rFonts w:hint="eastAsia" w:ascii="宋体" w:hAnsi="宋体"/>
                <w:szCs w:val="24"/>
              </w:rPr>
              <w:t>20</w:t>
            </w:r>
            <w:r>
              <w:rPr>
                <w:rFonts w:ascii="宋体" w:hAnsi="宋体"/>
                <w:szCs w:val="24"/>
              </w:rPr>
              <w:t>2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/>
                <w:szCs w:val="24"/>
              </w:rPr>
              <w:t>年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9</w:t>
            </w:r>
            <w:r>
              <w:rPr>
                <w:rFonts w:hint="eastAsia" w:ascii="宋体" w:hAnsi="宋体"/>
                <w:szCs w:val="24"/>
              </w:rPr>
              <w:t>月1日</w:t>
            </w:r>
            <w:bookmarkStart w:id="0" w:name="_GoBack"/>
            <w:bookmarkEnd w:id="0"/>
          </w:p>
        </w:tc>
        <w:tc>
          <w:tcPr>
            <w:tcW w:w="3603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取代</w:t>
            </w:r>
            <w:r>
              <w:rPr>
                <w:b/>
                <w:sz w:val="18"/>
                <w:lang w:val="en-US"/>
              </w:rPr>
              <w:t>Supersedes: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  <w:lang w:val="en-US"/>
              </w:rPr>
            </w:pPr>
            <w:r>
              <w:rPr>
                <w:rFonts w:hint="eastAsia" w:ascii="宋体" w:hAnsi="宋体"/>
                <w:szCs w:val="24"/>
                <w:lang w:val="en-US"/>
              </w:rPr>
              <w:t>原档号：</w:t>
            </w:r>
            <w:r>
              <w:rPr>
                <w:rFonts w:hint="eastAsia"/>
                <w:szCs w:val="24"/>
                <w:lang w:val="en-US"/>
              </w:rPr>
              <w:t>N/A</w:t>
            </w:r>
          </w:p>
        </w:tc>
        <w:tc>
          <w:tcPr>
            <w:tcW w:w="3052" w:type="dxa"/>
          </w:tcPr>
          <w:p>
            <w:pPr>
              <w:pStyle w:val="3"/>
              <w:spacing w:line="440" w:lineRule="exact"/>
              <w:rPr>
                <w:sz w:val="18"/>
              </w:rPr>
            </w:pPr>
            <w:r>
              <w:rPr>
                <w:rFonts w:hint="eastAsia" w:ascii="黑体" w:hAnsi="黑体" w:eastAsia="黑体"/>
                <w:b w:val="0"/>
                <w:sz w:val="24"/>
                <w:szCs w:val="24"/>
              </w:rPr>
              <w:t>分发</w:t>
            </w:r>
            <w:r>
              <w:rPr>
                <w:sz w:val="18"/>
              </w:rPr>
              <w:t xml:space="preserve">Distribution: </w:t>
            </w:r>
          </w:p>
          <w:p>
            <w:pPr>
              <w:spacing w:line="440" w:lineRule="exact"/>
            </w:pP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8"/>
        <w:tblW w:w="1008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exact"/>
          <w:jc w:val="center"/>
        </w:trPr>
        <w:tc>
          <w:tcPr>
            <w:tcW w:w="10085" w:type="dxa"/>
            <w:vAlign w:val="center"/>
          </w:tcPr>
          <w:p>
            <w:pPr>
              <w:ind w:left="18" w:leftChars="9" w:right="605"/>
              <w:rPr>
                <w:rFonts w:ascii="黑体" w:hAnsi="黑体" w:eastAsia="黑体"/>
                <w:sz w:val="24"/>
                <w:szCs w:val="24"/>
              </w:rPr>
            </w:pPr>
          </w:p>
          <w:p>
            <w:pPr>
              <w:tabs>
                <w:tab w:val="left" w:pos="1392"/>
              </w:tabs>
              <w:ind w:left="118" w:right="605" w:hanging="117" w:hangingChars="49"/>
              <w:rPr>
                <w:rFonts w:ascii="Tahoma" w:hAnsi="Tahoma" w:cs="Tahoma"/>
                <w:b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主题</w:t>
            </w:r>
            <w:r>
              <w:rPr>
                <w:rFonts w:ascii="黑体" w:hAnsi="黑体" w:eastAsia="黑体"/>
                <w:sz w:val="24"/>
                <w:szCs w:val="24"/>
              </w:rPr>
              <w:t>Subject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:</w:t>
            </w:r>
            <w:r>
              <w:rPr>
                <w:rFonts w:hint="eastAsia" w:cs="Tahoma"/>
                <w:sz w:val="24"/>
              </w:rPr>
              <w:t xml:space="preserve"> 厨房油锅灭火操作程序</w:t>
            </w:r>
          </w:p>
          <w:p>
            <w:pPr>
              <w:rPr>
                <w:rFonts w:ascii="Tahoma" w:hAnsi="Tahoma" w:cs="Tahoma"/>
              </w:rPr>
            </w:pPr>
          </w:p>
          <w:p>
            <w:pPr>
              <w:ind w:left="18" w:leftChars="9" w:right="605"/>
              <w:rPr>
                <w:rFonts w:ascii="Tahoma" w:hAnsi="Tahoma" w:cs="Tahoma"/>
              </w:rPr>
            </w:pPr>
          </w:p>
          <w:p>
            <w:pPr>
              <w:rPr>
                <w:rFonts w:ascii="Tahoma" w:hAnsi="Tahoma" w:cs="Tahoma"/>
                <w:b/>
                <w:bCs/>
              </w:rPr>
            </w:pPr>
          </w:p>
          <w:p>
            <w:pPr>
              <w:spacing w:line="460" w:lineRule="exact"/>
              <w:jc w:val="both"/>
              <w:rPr>
                <w:rFonts w:ascii="宋体" w:hAnsi="宋体"/>
                <w:sz w:val="24"/>
                <w:szCs w:val="24"/>
              </w:rPr>
            </w:pP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8"/>
        <w:tblW w:w="102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9" w:hRule="atLeast"/>
          <w:jc w:val="center"/>
        </w:trPr>
        <w:tc>
          <w:tcPr>
            <w:tcW w:w="10201" w:type="dxa"/>
            <w:vAlign w:val="center"/>
          </w:tcPr>
          <w:p>
            <w:pPr>
              <w:spacing w:line="460" w:lineRule="exact"/>
              <w:jc w:val="both"/>
              <w:rPr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目的</w:t>
            </w:r>
            <w:r>
              <w:rPr>
                <w:sz w:val="28"/>
                <w:szCs w:val="28"/>
              </w:rPr>
              <w:t>Purpose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p>
            <w:pPr>
              <w:numPr>
                <w:ilvl w:val="0"/>
                <w:numId w:val="1"/>
              </w:numPr>
              <w:tabs>
                <w:tab w:val="left" w:pos="539"/>
              </w:tabs>
              <w:ind w:left="539" w:right="1133" w:hanging="539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>在发生油锅起火时确保生命财产安全。</w:t>
            </w:r>
            <w:r>
              <w:rPr>
                <w:rFonts w:cs="Tahoma"/>
                <w:sz w:val="24"/>
              </w:rPr>
              <w:t>.</w:t>
            </w:r>
          </w:p>
          <w:p>
            <w:pPr>
              <w:numPr>
                <w:ilvl w:val="0"/>
                <w:numId w:val="1"/>
              </w:numPr>
              <w:tabs>
                <w:tab w:val="left" w:pos="539"/>
              </w:tabs>
              <w:ind w:left="539" w:right="1133" w:hanging="539"/>
              <w:rPr>
                <w:rFonts w:ascii="Tahoma" w:hAnsi="Tahoma" w:cs="Tahoma"/>
              </w:rPr>
            </w:pPr>
            <w:r>
              <w:rPr>
                <w:rFonts w:hint="eastAsia" w:cs="Tahoma"/>
                <w:sz w:val="24"/>
              </w:rPr>
              <w:t>在发生油锅起火时使用正确有效的方式进行扑救。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8"/>
        <w:tblW w:w="5301" w:type="pct"/>
        <w:tblInd w:w="-2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4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965" w:hRule="atLeast"/>
        </w:trPr>
        <w:tc>
          <w:tcPr>
            <w:tcW w:w="5000" w:type="pct"/>
          </w:tcPr>
          <w:p>
            <w:pPr>
              <w:spacing w:line="460" w:lineRule="exact"/>
              <w:rPr>
                <w:rFonts w:cs="Arial"/>
                <w:sz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程序</w:t>
            </w:r>
            <w:r>
              <w:rPr>
                <w:sz w:val="28"/>
                <w:szCs w:val="28"/>
              </w:rPr>
              <w:t>Procedures</w:t>
            </w:r>
            <w:r>
              <w:rPr>
                <w:rFonts w:hint="eastAsia" w:ascii="宋体" w:hAnsi="宋体"/>
                <w:sz w:val="24"/>
                <w:szCs w:val="24"/>
              </w:rPr>
              <w:t>：</w:t>
            </w:r>
          </w:p>
          <w:p>
            <w:pPr>
              <w:suppressAutoHyphens/>
              <w:ind w:right="605"/>
              <w:rPr>
                <w:rFonts w:cs="Arial"/>
                <w:sz w:val="24"/>
              </w:rPr>
            </w:pPr>
          </w:p>
          <w:p>
            <w:pPr>
              <w:suppressAutoHyphens/>
              <w:ind w:right="605"/>
              <w:rPr>
                <w:rFonts w:cs="Arial"/>
                <w:sz w:val="24"/>
              </w:rPr>
            </w:pPr>
            <w:r>
              <w:rPr>
                <w:rFonts w:hint="eastAsia" w:cs="Arial"/>
                <w:sz w:val="24"/>
              </w:rPr>
              <w:t>一、使用灭火毯灭火程序</w:t>
            </w:r>
          </w:p>
          <w:p>
            <w:pPr>
              <w:suppressAutoHyphens/>
              <w:ind w:right="605"/>
              <w:rPr>
                <w:rFonts w:cs="Arial"/>
                <w:sz w:val="24"/>
              </w:rPr>
            </w:pPr>
            <w:r>
              <w:rPr>
                <w:rFonts w:hint="eastAsia" w:cs="Arial"/>
                <w:sz w:val="24"/>
              </w:rPr>
              <w:t>1</w:t>
            </w:r>
            <w:r>
              <w:rPr>
                <w:rFonts w:cs="Arial"/>
                <w:sz w:val="24"/>
              </w:rPr>
              <w:t xml:space="preserve">. </w:t>
            </w:r>
            <w:r>
              <w:rPr>
                <w:rFonts w:hint="eastAsia" w:cs="Arial"/>
                <w:sz w:val="24"/>
              </w:rPr>
              <w:t>前期工作</w:t>
            </w:r>
          </w:p>
          <w:p>
            <w:pPr>
              <w:suppressAutoHyphens/>
              <w:ind w:left="322" w:leftChars="161" w:right="605"/>
              <w:rPr>
                <w:rFonts w:cs="Arial"/>
                <w:sz w:val="24"/>
              </w:rPr>
            </w:pPr>
            <w:r>
              <w:rPr>
                <w:rFonts w:hint="eastAsia" w:cs="Arial"/>
                <w:sz w:val="24"/>
              </w:rPr>
              <w:t>1</w:t>
            </w:r>
            <w:r>
              <w:rPr>
                <w:rFonts w:cs="Arial"/>
                <w:sz w:val="24"/>
              </w:rPr>
              <w:t>.1</w:t>
            </w:r>
            <w:r>
              <w:rPr>
                <w:rFonts w:hint="eastAsia" w:cs="Arial"/>
                <w:sz w:val="24"/>
              </w:rPr>
              <w:t>发现油锅起火后，及时切断燃气或热源供应；</w:t>
            </w:r>
          </w:p>
          <w:p>
            <w:pPr>
              <w:suppressAutoHyphens/>
              <w:ind w:left="322" w:leftChars="161" w:right="605"/>
              <w:rPr>
                <w:rFonts w:cs="Arial"/>
                <w:sz w:val="24"/>
              </w:rPr>
            </w:pPr>
            <w:r>
              <w:rPr>
                <w:rFonts w:hint="eastAsia" w:cs="Arial"/>
                <w:sz w:val="24"/>
              </w:rPr>
              <w:t>1</w:t>
            </w:r>
            <w:r>
              <w:rPr>
                <w:rFonts w:cs="Arial"/>
                <w:sz w:val="24"/>
              </w:rPr>
              <w:t>.2</w:t>
            </w:r>
            <w:r>
              <w:rPr>
                <w:rFonts w:hint="eastAsia" w:cs="Arial"/>
                <w:sz w:val="24"/>
              </w:rPr>
              <w:t>就近快速取出灭火毯；</w:t>
            </w:r>
          </w:p>
          <w:p>
            <w:pPr>
              <w:suppressAutoHyphens/>
              <w:ind w:left="322" w:leftChars="161" w:right="605"/>
              <w:rPr>
                <w:color w:val="000000"/>
                <w:sz w:val="21"/>
                <w:szCs w:val="21"/>
              </w:rPr>
            </w:pPr>
            <w:r>
              <w:rPr>
                <w:rFonts w:hint="eastAsia" w:cs="Arial"/>
                <w:sz w:val="24"/>
              </w:rPr>
              <w:t>1</w:t>
            </w:r>
            <w:r>
              <w:rPr>
                <w:rFonts w:cs="Arial"/>
                <w:sz w:val="24"/>
              </w:rPr>
              <w:t>.3</w:t>
            </w:r>
            <w:r>
              <w:rPr>
                <w:color w:val="000000"/>
                <w:sz w:val="21"/>
                <w:szCs w:val="21"/>
              </w:rPr>
              <w:t>将灭火毯轻轻抖开，</w:t>
            </w:r>
            <w:r>
              <w:rPr>
                <w:rFonts w:hint="eastAsia"/>
                <w:color w:val="000000"/>
                <w:sz w:val="21"/>
                <w:szCs w:val="21"/>
              </w:rPr>
              <w:t>用两只手握住灭火毯左右两个上角，像盾牌一样举在身前，高举过面部，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000000"/>
                <w:sz w:val="21"/>
                <w:szCs w:val="21"/>
              </w:rPr>
              <w:t>确保灭火毯可以覆盖双手，免于操作时烫伤；</w:t>
            </w:r>
          </w:p>
          <w:p>
            <w:pPr>
              <w:suppressAutoHyphens/>
              <w:ind w:left="322" w:leftChars="161" w:right="605"/>
              <w:rPr>
                <w:rFonts w:cs="Arial"/>
                <w:sz w:val="24"/>
              </w:rPr>
            </w:pPr>
            <w:r>
              <w:rPr>
                <w:color w:val="000000"/>
                <w:sz w:val="21"/>
                <w:szCs w:val="21"/>
              </w:rPr>
              <w:t>1.4</w:t>
            </w:r>
            <w:r>
              <w:rPr>
                <w:rFonts w:hint="eastAsia"/>
                <w:color w:val="000000"/>
                <w:sz w:val="21"/>
                <w:szCs w:val="21"/>
              </w:rPr>
              <w:t>分清灭火毯的正反面（如有），使带有防火涂层的一面朝向起火位置；无防火涂层的一面朝向面部；</w:t>
            </w:r>
          </w:p>
          <w:p>
            <w:pPr>
              <w:suppressAutoHyphens/>
              <w:ind w:right="605"/>
              <w:rPr>
                <w:rFonts w:cs="Arial"/>
                <w:sz w:val="24"/>
              </w:rPr>
            </w:pPr>
            <w:r>
              <w:rPr>
                <w:rFonts w:hint="eastAsia" w:cs="Arial"/>
                <w:sz w:val="24"/>
              </w:rPr>
              <w:t>2</w:t>
            </w:r>
            <w:r>
              <w:rPr>
                <w:rFonts w:cs="Arial"/>
                <w:sz w:val="24"/>
              </w:rPr>
              <w:t xml:space="preserve">. </w:t>
            </w:r>
            <w:r>
              <w:rPr>
                <w:rFonts w:hint="eastAsia" w:cs="Arial"/>
                <w:sz w:val="24"/>
              </w:rPr>
              <w:t>操作步骤</w:t>
            </w:r>
          </w:p>
          <w:p>
            <w:pPr>
              <w:suppressAutoHyphens/>
              <w:ind w:left="322" w:leftChars="161" w:right="605"/>
              <w:rPr>
                <w:rFonts w:cs="Arial"/>
                <w:sz w:val="24"/>
              </w:rPr>
            </w:pPr>
            <w:r>
              <w:rPr>
                <w:rFonts w:hint="eastAsia" w:cs="Arial"/>
                <w:sz w:val="24"/>
              </w:rPr>
              <w:t>2</w:t>
            </w:r>
            <w:r>
              <w:rPr>
                <w:rFonts w:cs="Arial"/>
                <w:sz w:val="24"/>
              </w:rPr>
              <w:t xml:space="preserve">.1 </w:t>
            </w:r>
            <w:r>
              <w:rPr>
                <w:rFonts w:hint="eastAsia" w:cs="Arial"/>
                <w:sz w:val="24"/>
              </w:rPr>
              <w:t>举起灭火毯走近起火位置，护住面部和双手；</w:t>
            </w:r>
          </w:p>
          <w:p>
            <w:pPr>
              <w:suppressAutoHyphens/>
              <w:ind w:left="322" w:leftChars="161" w:right="605"/>
              <w:rPr>
                <w:rFonts w:cs="Arial"/>
                <w:sz w:val="24"/>
              </w:rPr>
            </w:pPr>
            <w:r>
              <w:rPr>
                <w:rFonts w:hint="eastAsia" w:cs="Arial"/>
                <w:sz w:val="24"/>
              </w:rPr>
              <w:t>2</w:t>
            </w:r>
            <w:r>
              <w:rPr>
                <w:rFonts w:cs="Arial"/>
                <w:sz w:val="24"/>
              </w:rPr>
              <w:t xml:space="preserve">.2 </w:t>
            </w:r>
            <w:r>
              <w:rPr>
                <w:rFonts w:hint="eastAsia" w:cs="Arial"/>
                <w:sz w:val="24"/>
              </w:rPr>
              <w:t>将灭火毯完全覆盖在起火的油锅上</w:t>
            </w:r>
            <w:r>
              <w:rPr>
                <w:rFonts w:cs="Arial"/>
                <w:sz w:val="24"/>
              </w:rPr>
              <w:t>，尽可能减少灭火毯与</w:t>
            </w:r>
            <w:r>
              <w:rPr>
                <w:rFonts w:hint="eastAsia" w:cs="Arial"/>
                <w:sz w:val="24"/>
              </w:rPr>
              <w:t>着火面</w:t>
            </w:r>
            <w:r>
              <w:rPr>
                <w:rFonts w:cs="Arial"/>
                <w:sz w:val="24"/>
              </w:rPr>
              <w:t>之间的空隙，减少空气与着火物的接触</w:t>
            </w:r>
            <w:r>
              <w:rPr>
                <w:rFonts w:hint="eastAsia" w:cs="Arial"/>
                <w:sz w:val="24"/>
              </w:rPr>
              <w:t>，确保</w:t>
            </w:r>
            <w:r>
              <w:rPr>
                <w:rFonts w:cs="Arial"/>
                <w:sz w:val="24"/>
              </w:rPr>
              <w:t>火焰完全熄灭</w:t>
            </w:r>
            <w:r>
              <w:rPr>
                <w:rFonts w:hint="eastAsia" w:cs="Arial"/>
                <w:sz w:val="24"/>
              </w:rPr>
              <w:t>；</w:t>
            </w:r>
          </w:p>
          <w:p>
            <w:pPr>
              <w:suppressAutoHyphens/>
              <w:ind w:left="746" w:leftChars="373" w:right="605"/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>2.2.1 覆盖时需注意一定要将火源完全包裹住，不留任何缝隙，这样才能够起到迅速阻隔空气并熄灭火源的作用。</w:t>
            </w:r>
          </w:p>
          <w:p>
            <w:pPr>
              <w:suppressAutoHyphens/>
              <w:ind w:left="322" w:leftChars="161" w:right="605"/>
              <w:rPr>
                <w:rFonts w:cs="Arial"/>
                <w:sz w:val="24"/>
              </w:rPr>
            </w:pPr>
            <w:r>
              <w:rPr>
                <w:rFonts w:hint="eastAsia" w:cs="Arial"/>
                <w:sz w:val="24"/>
              </w:rPr>
              <w:t>2</w:t>
            </w:r>
            <w:r>
              <w:rPr>
                <w:rFonts w:cs="Arial"/>
                <w:sz w:val="24"/>
              </w:rPr>
              <w:t xml:space="preserve">.3 </w:t>
            </w:r>
            <w:r>
              <w:rPr>
                <w:rFonts w:hint="eastAsia" w:cs="Arial"/>
                <w:sz w:val="24"/>
              </w:rPr>
              <w:t>火焰熄灭后，要等待一段时间（一版至少等待1</w:t>
            </w:r>
            <w:r>
              <w:rPr>
                <w:rFonts w:cs="Arial"/>
                <w:sz w:val="24"/>
              </w:rPr>
              <w:t>0</w:t>
            </w:r>
            <w:r>
              <w:rPr>
                <w:rFonts w:hint="eastAsia" w:cs="Arial"/>
                <w:sz w:val="24"/>
              </w:rPr>
              <w:t>分钟）在油锅温度冷却前，切勿掀开或取下灭火毯，避免油锅复燃；</w:t>
            </w:r>
          </w:p>
          <w:p>
            <w:pPr>
              <w:suppressAutoHyphens/>
              <w:ind w:left="322" w:leftChars="161" w:right="605"/>
              <w:rPr>
                <w:rFonts w:cs="Arial"/>
                <w:sz w:val="24"/>
              </w:rPr>
            </w:pPr>
            <w:r>
              <w:rPr>
                <w:rFonts w:hint="eastAsia" w:cs="Arial"/>
                <w:sz w:val="24"/>
              </w:rPr>
              <w:t>2</w:t>
            </w:r>
            <w:r>
              <w:rPr>
                <w:rFonts w:cs="Arial"/>
                <w:sz w:val="24"/>
              </w:rPr>
              <w:t>.4 待灭火毯冷却后，移走灭火毯</w:t>
            </w:r>
            <w:r>
              <w:rPr>
                <w:rFonts w:hint="eastAsia" w:cs="Arial"/>
                <w:sz w:val="24"/>
              </w:rPr>
              <w:t>；</w:t>
            </w:r>
          </w:p>
          <w:p>
            <w:pPr>
              <w:suppressAutoHyphens/>
              <w:ind w:left="322" w:leftChars="161" w:right="605"/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>2.5 使用后，灭火毯表面会产生一层灰烬，用干布轻拭即可</w:t>
            </w:r>
            <w:r>
              <w:rPr>
                <w:rFonts w:hint="eastAsia" w:cs="Arial"/>
                <w:sz w:val="24"/>
              </w:rPr>
              <w:t>。</w:t>
            </w:r>
          </w:p>
          <w:p>
            <w:pPr>
              <w:suppressAutoHyphens/>
              <w:ind w:right="605"/>
              <w:rPr>
                <w:rFonts w:cs="Arial"/>
                <w:sz w:val="24"/>
              </w:rPr>
            </w:pPr>
            <w:r>
              <w:rPr>
                <w:rFonts w:hint="eastAsia" w:cs="Arial"/>
                <w:sz w:val="24"/>
              </w:rPr>
              <w:t>3</w:t>
            </w:r>
            <w:r>
              <w:rPr>
                <w:rFonts w:cs="Arial"/>
                <w:sz w:val="24"/>
              </w:rPr>
              <w:t xml:space="preserve">. </w:t>
            </w:r>
            <w:r>
              <w:rPr>
                <w:rFonts w:hint="eastAsia" w:cs="Arial"/>
                <w:sz w:val="24"/>
              </w:rPr>
              <w:t>注意事项</w:t>
            </w:r>
          </w:p>
          <w:p>
            <w:pPr>
              <w:suppressAutoHyphens/>
              <w:ind w:left="322" w:leftChars="161" w:right="605"/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>3.1如果火势已经蔓延开</w:t>
            </w:r>
            <w:r>
              <w:rPr>
                <w:rFonts w:hint="eastAsia" w:cs="Arial"/>
                <w:sz w:val="24"/>
              </w:rPr>
              <w:t>，</w:t>
            </w:r>
            <w:r>
              <w:rPr>
                <w:rFonts w:cs="Arial"/>
                <w:sz w:val="24"/>
              </w:rPr>
              <w:t>灭火毯都失去作用</w:t>
            </w:r>
            <w:r>
              <w:rPr>
                <w:rFonts w:hint="eastAsia" w:cs="Arial"/>
                <w:sz w:val="24"/>
              </w:rPr>
              <w:t>或无法实施铺盖时</w:t>
            </w:r>
            <w:r>
              <w:rPr>
                <w:rFonts w:cs="Arial"/>
                <w:sz w:val="24"/>
              </w:rPr>
              <w:t>，就要</w:t>
            </w:r>
            <w:r>
              <w:rPr>
                <w:rFonts w:hint="eastAsia" w:cs="Arial"/>
                <w:sz w:val="24"/>
              </w:rPr>
              <w:t>立即</w:t>
            </w:r>
            <w:r>
              <w:rPr>
                <w:rFonts w:cs="Arial"/>
                <w:sz w:val="24"/>
              </w:rPr>
              <w:t>拨打火警电话，同时使用二氧化碳灭火器或泡沫灭火器灭火（不建议使用干粉灭火器灭油锅起的火，因干粉灭火器具有易流动性，容易导致燃油四溅从而火势蔓延）</w:t>
            </w:r>
            <w:r>
              <w:rPr>
                <w:rFonts w:hint="eastAsia" w:cs="Arial"/>
                <w:sz w:val="24"/>
              </w:rPr>
              <w:t>。</w:t>
            </w:r>
          </w:p>
          <w:p>
            <w:pPr>
              <w:suppressAutoHyphens/>
              <w:ind w:left="322" w:leftChars="161" w:right="605"/>
              <w:rPr>
                <w:rFonts w:cs="Arial"/>
                <w:sz w:val="24"/>
              </w:rPr>
            </w:pPr>
          </w:p>
          <w:p>
            <w:pPr>
              <w:suppressAutoHyphens/>
              <w:ind w:right="605"/>
              <w:rPr>
                <w:rFonts w:cs="Arial"/>
                <w:sz w:val="24"/>
              </w:rPr>
            </w:pPr>
            <w:r>
              <w:rPr>
                <w:rFonts w:hint="eastAsia" w:cs="Arial"/>
                <w:sz w:val="24"/>
              </w:rPr>
              <w:t>二、使用泡沫水基灭火器灭火程序</w:t>
            </w:r>
          </w:p>
          <w:p>
            <w:pPr>
              <w:suppressAutoHyphens/>
              <w:ind w:right="605"/>
              <w:rPr>
                <w:rFonts w:cs="Arial"/>
                <w:sz w:val="24"/>
              </w:rPr>
            </w:pPr>
            <w:r>
              <w:rPr>
                <w:rFonts w:hint="eastAsia" w:cs="Arial"/>
                <w:sz w:val="24"/>
              </w:rPr>
              <w:t>1</w:t>
            </w:r>
            <w:r>
              <w:rPr>
                <w:rFonts w:cs="Arial"/>
                <w:sz w:val="24"/>
              </w:rPr>
              <w:t xml:space="preserve">. </w:t>
            </w:r>
            <w:r>
              <w:rPr>
                <w:rFonts w:hint="eastAsia" w:cs="Arial"/>
                <w:sz w:val="24"/>
              </w:rPr>
              <w:t>使用条件：</w:t>
            </w:r>
          </w:p>
          <w:p>
            <w:pPr>
              <w:suppressAutoHyphens/>
              <w:ind w:left="322" w:leftChars="161" w:right="605"/>
              <w:rPr>
                <w:rFonts w:cs="Arial"/>
                <w:sz w:val="24"/>
              </w:rPr>
            </w:pPr>
            <w:r>
              <w:rPr>
                <w:rFonts w:hint="eastAsia" w:cs="Arial"/>
                <w:sz w:val="24"/>
              </w:rPr>
              <w:t>1</w:t>
            </w:r>
            <w:r>
              <w:rPr>
                <w:rFonts w:cs="Arial"/>
                <w:sz w:val="24"/>
              </w:rPr>
              <w:t xml:space="preserve">.1 </w:t>
            </w:r>
            <w:r>
              <w:rPr>
                <w:rFonts w:hint="eastAsia" w:cs="Arial"/>
                <w:sz w:val="24"/>
              </w:rPr>
              <w:t>如现场没有灭火毯可用或者已造成油锅内的燃油外溢的情况，建议使用泡沫水基灭火器灭火。</w:t>
            </w:r>
          </w:p>
          <w:p>
            <w:pPr>
              <w:suppressAutoHyphens/>
              <w:ind w:left="322" w:leftChars="161" w:right="605"/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1.2 </w:t>
            </w:r>
            <w:r>
              <w:rPr>
                <w:rFonts w:hint="eastAsia" w:cs="Arial"/>
                <w:sz w:val="24"/>
              </w:rPr>
              <w:t>如现场既无灭火毯也无泡沫水基灭火器，也可使用干粉灭火器实施灭火，但要确保备有足量的灭火器。</w:t>
            </w:r>
          </w:p>
          <w:p>
            <w:pPr>
              <w:suppressAutoHyphens/>
              <w:ind w:right="605"/>
              <w:rPr>
                <w:rFonts w:cs="Arial"/>
                <w:sz w:val="24"/>
              </w:rPr>
            </w:pPr>
            <w:r>
              <w:rPr>
                <w:rFonts w:hint="eastAsia" w:cs="Arial"/>
                <w:sz w:val="24"/>
              </w:rPr>
              <w:t>2</w:t>
            </w:r>
            <w:r>
              <w:rPr>
                <w:rFonts w:cs="Arial"/>
                <w:sz w:val="24"/>
              </w:rPr>
              <w:t xml:space="preserve">. </w:t>
            </w:r>
            <w:r>
              <w:rPr>
                <w:rFonts w:hint="eastAsia" w:cs="Arial"/>
                <w:sz w:val="24"/>
              </w:rPr>
              <w:t>操作步骤：</w:t>
            </w:r>
          </w:p>
          <w:p>
            <w:pPr>
              <w:suppressAutoHyphens/>
              <w:ind w:left="322" w:leftChars="161" w:right="605"/>
              <w:rPr>
                <w:rFonts w:cs="Arial"/>
                <w:sz w:val="24"/>
              </w:rPr>
            </w:pPr>
            <w:r>
              <w:rPr>
                <w:rFonts w:hint="eastAsia" w:cs="Arial"/>
                <w:sz w:val="24"/>
              </w:rPr>
              <w:t>2</w:t>
            </w:r>
            <w:r>
              <w:rPr>
                <w:rFonts w:cs="Arial"/>
                <w:sz w:val="24"/>
              </w:rPr>
              <w:t>.1 先拔出保险销，一手握住开启压把，另一手握住喷枪，紧握开启压把，将灭火器密封开启，空气泡沫即从喷枪喷出。</w:t>
            </w:r>
          </w:p>
          <w:p>
            <w:pPr>
              <w:suppressAutoHyphens/>
              <w:ind w:left="322" w:leftChars="161" w:right="605"/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2.2 </w:t>
            </w:r>
            <w:r>
              <w:rPr>
                <w:rFonts w:hint="eastAsia" w:cs="Arial"/>
                <w:sz w:val="24"/>
              </w:rPr>
              <w:t>泡沫水基灭火器在喷出泡沫之前会有一小部分压缩空气排出，要避免这部分空气喷向火源，导致助燃。</w:t>
            </w:r>
          </w:p>
          <w:p>
            <w:pPr>
              <w:suppressAutoHyphens/>
              <w:ind w:left="322" w:leftChars="161" w:right="605"/>
              <w:rPr>
                <w:rFonts w:cs="Arial"/>
                <w:sz w:val="24"/>
              </w:rPr>
            </w:pPr>
            <w:r>
              <w:rPr>
                <w:rFonts w:hint="eastAsia" w:cs="Arial"/>
                <w:sz w:val="24"/>
              </w:rPr>
              <w:t>2</w:t>
            </w:r>
            <w:r>
              <w:rPr>
                <w:rFonts w:cs="Arial"/>
                <w:sz w:val="24"/>
              </w:rPr>
              <w:t>.3 泡沫喷出后，应对准燃烧最猛烈处喷射。</w:t>
            </w:r>
          </w:p>
          <w:p>
            <w:pPr>
              <w:suppressAutoHyphens/>
              <w:ind w:left="322" w:leftChars="161" w:right="605"/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>2.4 如</w:t>
            </w:r>
            <w:r>
              <w:rPr>
                <w:rFonts w:hint="eastAsia" w:cs="Arial"/>
                <w:sz w:val="24"/>
              </w:rPr>
              <w:t>有燃油外溢</w:t>
            </w:r>
            <w:r>
              <w:rPr>
                <w:rFonts w:cs="Arial"/>
                <w:sz w:val="24"/>
              </w:rPr>
              <w:t>呈流淌状燃烧时，喷射的泡沫应由远而近地覆盖在燃烧物体上</w:t>
            </w:r>
            <w:r>
              <w:rPr>
                <w:rFonts w:hint="eastAsia" w:cs="Arial"/>
                <w:sz w:val="24"/>
              </w:rPr>
              <w:t>。</w:t>
            </w:r>
          </w:p>
          <w:p>
            <w:pPr>
              <w:suppressAutoHyphens/>
              <w:ind w:left="322" w:leftChars="161" w:right="605"/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2.5 </w:t>
            </w:r>
            <w:r>
              <w:rPr>
                <w:rFonts w:hint="eastAsia" w:cs="Arial"/>
                <w:sz w:val="24"/>
              </w:rPr>
              <w:t>对仍在锅具</w:t>
            </w:r>
            <w:r>
              <w:rPr>
                <w:rFonts w:cs="Arial"/>
                <w:sz w:val="24"/>
              </w:rPr>
              <w:t>中燃烧</w:t>
            </w:r>
            <w:r>
              <w:rPr>
                <w:rFonts w:hint="eastAsia" w:cs="Arial"/>
                <w:sz w:val="24"/>
              </w:rPr>
              <w:t>的燃油</w:t>
            </w:r>
            <w:r>
              <w:rPr>
                <w:rFonts w:cs="Arial"/>
                <w:sz w:val="24"/>
              </w:rPr>
              <w:t>，应将泡沫喷射在</w:t>
            </w:r>
            <w:r>
              <w:rPr>
                <w:rFonts w:hint="eastAsia" w:cs="Arial"/>
                <w:sz w:val="24"/>
              </w:rPr>
              <w:t>锅具</w:t>
            </w:r>
            <w:r>
              <w:rPr>
                <w:rFonts w:cs="Arial"/>
                <w:sz w:val="24"/>
              </w:rPr>
              <w:t>的内壁上</w:t>
            </w:r>
            <w:r>
              <w:rPr>
                <w:rFonts w:hint="eastAsia" w:cs="Arial"/>
                <w:sz w:val="24"/>
              </w:rPr>
              <w:t>，</w:t>
            </w:r>
            <w:r>
              <w:rPr>
                <w:rFonts w:cs="Arial"/>
                <w:sz w:val="24"/>
              </w:rPr>
              <w:t>使泡沫沿壁</w:t>
            </w:r>
            <w:r>
              <w:rPr>
                <w:rFonts w:hint="eastAsia" w:cs="Arial"/>
                <w:sz w:val="24"/>
              </w:rPr>
              <w:t>覆盖油面；</w:t>
            </w:r>
            <w:r>
              <w:rPr>
                <w:rFonts w:cs="Arial"/>
                <w:sz w:val="24"/>
              </w:rPr>
              <w:t>应避免将泡沫直接喷射在</w:t>
            </w:r>
            <w:r>
              <w:rPr>
                <w:rFonts w:hint="eastAsia" w:cs="Arial"/>
                <w:sz w:val="24"/>
              </w:rPr>
              <w:t>油</w:t>
            </w:r>
            <w:r>
              <w:rPr>
                <w:rFonts w:cs="Arial"/>
                <w:sz w:val="24"/>
              </w:rPr>
              <w:t>面上，以防止射流的冲击力将</w:t>
            </w:r>
            <w:r>
              <w:rPr>
                <w:rFonts w:hint="eastAsia" w:cs="Arial"/>
                <w:sz w:val="24"/>
              </w:rPr>
              <w:t>燃油</w:t>
            </w:r>
            <w:r>
              <w:rPr>
                <w:rFonts w:cs="Arial"/>
                <w:sz w:val="24"/>
              </w:rPr>
              <w:t>冲出</w:t>
            </w:r>
            <w:r>
              <w:rPr>
                <w:rFonts w:hint="eastAsia" w:cs="Arial"/>
                <w:sz w:val="24"/>
              </w:rPr>
              <w:t>锅具</w:t>
            </w:r>
            <w:r>
              <w:rPr>
                <w:rFonts w:cs="Arial"/>
                <w:sz w:val="24"/>
              </w:rPr>
              <w:t>容器而扩大燃烧范圈，增大灭火难度。</w:t>
            </w:r>
          </w:p>
          <w:p>
            <w:pPr>
              <w:suppressAutoHyphens/>
              <w:ind w:left="322" w:leftChars="161" w:right="605"/>
              <w:rPr>
                <w:rFonts w:cs="Arial"/>
                <w:sz w:val="24"/>
              </w:rPr>
            </w:pPr>
            <w:r>
              <w:rPr>
                <w:rFonts w:hint="eastAsia" w:cs="Arial"/>
                <w:sz w:val="24"/>
              </w:rPr>
              <w:t>2</w:t>
            </w:r>
            <w:r>
              <w:rPr>
                <w:rFonts w:cs="Arial"/>
                <w:sz w:val="24"/>
              </w:rPr>
              <w:t xml:space="preserve">.6 </w:t>
            </w:r>
            <w:r>
              <w:rPr>
                <w:rFonts w:hint="eastAsia" w:cs="Arial"/>
                <w:sz w:val="24"/>
              </w:rPr>
              <w:t>确保泡沫完全覆盖油面，隔绝燃烧介质，直至将火扑灭</w:t>
            </w:r>
          </w:p>
          <w:p>
            <w:pPr>
              <w:suppressAutoHyphens/>
              <w:ind w:right="605"/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3. </w:t>
            </w:r>
            <w:r>
              <w:rPr>
                <w:rFonts w:hint="eastAsia" w:cs="Arial"/>
                <w:sz w:val="24"/>
              </w:rPr>
              <w:t>注意事项：</w:t>
            </w:r>
          </w:p>
          <w:p>
            <w:pPr>
              <w:suppressAutoHyphens/>
              <w:ind w:left="322" w:leftChars="161" w:right="605"/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>3.1 灭火时，应随着喷射距离的减缩，使用者逐渐向燃烧处靠近</w:t>
            </w:r>
            <w:r>
              <w:rPr>
                <w:rFonts w:hint="eastAsia" w:cs="Arial"/>
                <w:sz w:val="24"/>
              </w:rPr>
              <w:t>；</w:t>
            </w:r>
            <w:r>
              <w:rPr>
                <w:rFonts w:cs="Arial"/>
                <w:sz w:val="24"/>
              </w:rPr>
              <w:t>并</w:t>
            </w:r>
            <w:r>
              <w:rPr>
                <w:rFonts w:hint="eastAsia" w:cs="Arial"/>
                <w:sz w:val="24"/>
              </w:rPr>
              <w:t>确保</w:t>
            </w:r>
            <w:r>
              <w:rPr>
                <w:rFonts w:cs="Arial"/>
                <w:sz w:val="24"/>
              </w:rPr>
              <w:t>将泡沫喷射在燃烧</w:t>
            </w:r>
            <w:r>
              <w:rPr>
                <w:rFonts w:hint="eastAsia" w:cs="Arial"/>
                <w:sz w:val="24"/>
              </w:rPr>
              <w:t>油面</w:t>
            </w:r>
            <w:r>
              <w:rPr>
                <w:rFonts w:cs="Arial"/>
                <w:sz w:val="24"/>
              </w:rPr>
              <w:t>上，直至将火扑灭。</w:t>
            </w:r>
          </w:p>
          <w:p>
            <w:pPr>
              <w:suppressAutoHyphens/>
              <w:ind w:left="322" w:leftChars="161" w:right="605"/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>3.2 在使用过程中，应始终双握开启压把不能松开，灭火器也不能倒置或横卧使用，否则会中断喷射。</w:t>
            </w:r>
          </w:p>
        </w:tc>
      </w:tr>
    </w:tbl>
    <w:p>
      <w:pPr>
        <w:rPr>
          <w:rFonts w:ascii="新宋体" w:hAnsi="新宋体" w:eastAsia="新宋体"/>
        </w:rPr>
      </w:pPr>
    </w:p>
    <w:sectPr>
      <w:headerReference r:id="rId3" w:type="default"/>
      <w:pgSz w:w="11906" w:h="16838"/>
      <w:pgMar w:top="2045" w:right="1134" w:bottom="1246" w:left="1134" w:header="623" w:footer="948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G Times">
    <w:altName w:val="Times New Roman"/>
    <w:panose1 w:val="00000000000000000000"/>
    <w:charset w:val="00"/>
    <w:family w:val="roman"/>
    <w:pitch w:val="default"/>
    <w:sig w:usb0="00000000" w:usb1="00000000" w:usb2="00000000" w:usb3="00000000" w:csb0="00000093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Garamond">
    <w:panose1 w:val="02020404030301010803"/>
    <w:charset w:val="00"/>
    <w:family w:val="roman"/>
    <w:pitch w:val="default"/>
    <w:sig w:usb0="00000287" w:usb1="00000000" w:usb2="00000000" w:usb3="00000000" w:csb0="0000009F" w:csb1="DF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drawing>
        <wp:inline distT="0" distB="0" distL="0" distR="0">
          <wp:extent cx="2847975" cy="438150"/>
          <wp:effectExtent l="0" t="0" r="0" b="0"/>
          <wp:docPr id="4" name="图片 10" descr="图片包含 游戏机, 画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0" descr="图片包含 游戏机, 画&#10;&#10;描述已自动生成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4797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B40118"/>
    <w:multiLevelType w:val="multilevel"/>
    <w:tmpl w:val="3CB40118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I1ZDBlMGU5ODg0MjFmMWM5ODUwYjE5NDUzNjg2ZWYifQ=="/>
  </w:docVars>
  <w:rsids>
    <w:rsidRoot w:val="009C481D"/>
    <w:rsid w:val="00026DD7"/>
    <w:rsid w:val="000406FE"/>
    <w:rsid w:val="0005203D"/>
    <w:rsid w:val="00054B55"/>
    <w:rsid w:val="00064F39"/>
    <w:rsid w:val="00070921"/>
    <w:rsid w:val="00074725"/>
    <w:rsid w:val="00076307"/>
    <w:rsid w:val="00076BB4"/>
    <w:rsid w:val="000962D8"/>
    <w:rsid w:val="000B34B2"/>
    <w:rsid w:val="000D01DB"/>
    <w:rsid w:val="001405AD"/>
    <w:rsid w:val="001413AF"/>
    <w:rsid w:val="00160CB7"/>
    <w:rsid w:val="00174FA7"/>
    <w:rsid w:val="001A29A1"/>
    <w:rsid w:val="001A3E74"/>
    <w:rsid w:val="001B45FA"/>
    <w:rsid w:val="001C40B7"/>
    <w:rsid w:val="001F25CD"/>
    <w:rsid w:val="002248EE"/>
    <w:rsid w:val="00232E33"/>
    <w:rsid w:val="00276647"/>
    <w:rsid w:val="00283E94"/>
    <w:rsid w:val="002A254A"/>
    <w:rsid w:val="002D0B87"/>
    <w:rsid w:val="002D1D2B"/>
    <w:rsid w:val="002D6B1C"/>
    <w:rsid w:val="002D6DB2"/>
    <w:rsid w:val="002D7A86"/>
    <w:rsid w:val="002E0F2D"/>
    <w:rsid w:val="002F5350"/>
    <w:rsid w:val="00304B2C"/>
    <w:rsid w:val="00311BCD"/>
    <w:rsid w:val="00344147"/>
    <w:rsid w:val="00345AFD"/>
    <w:rsid w:val="00352286"/>
    <w:rsid w:val="00352E7F"/>
    <w:rsid w:val="00375140"/>
    <w:rsid w:val="003A3120"/>
    <w:rsid w:val="003A436E"/>
    <w:rsid w:val="003A7D8D"/>
    <w:rsid w:val="003B0B94"/>
    <w:rsid w:val="003B26A6"/>
    <w:rsid w:val="003C26F1"/>
    <w:rsid w:val="003D3DE5"/>
    <w:rsid w:val="003D7CD9"/>
    <w:rsid w:val="003F1619"/>
    <w:rsid w:val="00402835"/>
    <w:rsid w:val="0040289B"/>
    <w:rsid w:val="004303F4"/>
    <w:rsid w:val="00445EB4"/>
    <w:rsid w:val="00450E82"/>
    <w:rsid w:val="00461A63"/>
    <w:rsid w:val="00481FE9"/>
    <w:rsid w:val="00490C9E"/>
    <w:rsid w:val="004A35A6"/>
    <w:rsid w:val="004A4BC0"/>
    <w:rsid w:val="004B62AB"/>
    <w:rsid w:val="004C1C08"/>
    <w:rsid w:val="004C4AD9"/>
    <w:rsid w:val="004F0353"/>
    <w:rsid w:val="004F1ED7"/>
    <w:rsid w:val="0050039F"/>
    <w:rsid w:val="00506943"/>
    <w:rsid w:val="005557F4"/>
    <w:rsid w:val="00585AEF"/>
    <w:rsid w:val="0062072B"/>
    <w:rsid w:val="00627123"/>
    <w:rsid w:val="006272E6"/>
    <w:rsid w:val="00640F59"/>
    <w:rsid w:val="006421D1"/>
    <w:rsid w:val="00653637"/>
    <w:rsid w:val="00655376"/>
    <w:rsid w:val="00692F45"/>
    <w:rsid w:val="006A138A"/>
    <w:rsid w:val="006B3168"/>
    <w:rsid w:val="006D248A"/>
    <w:rsid w:val="006D4592"/>
    <w:rsid w:val="006D6D5C"/>
    <w:rsid w:val="00703FA7"/>
    <w:rsid w:val="0070476C"/>
    <w:rsid w:val="007311D6"/>
    <w:rsid w:val="007466BC"/>
    <w:rsid w:val="007639D5"/>
    <w:rsid w:val="0077297A"/>
    <w:rsid w:val="007B20A5"/>
    <w:rsid w:val="00812204"/>
    <w:rsid w:val="00837FE1"/>
    <w:rsid w:val="00854CCB"/>
    <w:rsid w:val="008571CF"/>
    <w:rsid w:val="008A22E2"/>
    <w:rsid w:val="008A61F1"/>
    <w:rsid w:val="008B265A"/>
    <w:rsid w:val="008B37CB"/>
    <w:rsid w:val="008B73C2"/>
    <w:rsid w:val="008C5FC5"/>
    <w:rsid w:val="008D6443"/>
    <w:rsid w:val="00941A9D"/>
    <w:rsid w:val="00946BF7"/>
    <w:rsid w:val="00955C0C"/>
    <w:rsid w:val="00962CD8"/>
    <w:rsid w:val="00972499"/>
    <w:rsid w:val="00981302"/>
    <w:rsid w:val="00982E26"/>
    <w:rsid w:val="009A30DC"/>
    <w:rsid w:val="009B2C79"/>
    <w:rsid w:val="009C3032"/>
    <w:rsid w:val="009C481D"/>
    <w:rsid w:val="009D0B10"/>
    <w:rsid w:val="009D0D23"/>
    <w:rsid w:val="009F59F3"/>
    <w:rsid w:val="009F69E9"/>
    <w:rsid w:val="00A25A5B"/>
    <w:rsid w:val="00A26B93"/>
    <w:rsid w:val="00A44E10"/>
    <w:rsid w:val="00A61E75"/>
    <w:rsid w:val="00A729E1"/>
    <w:rsid w:val="00AA256C"/>
    <w:rsid w:val="00AB6623"/>
    <w:rsid w:val="00AC5C73"/>
    <w:rsid w:val="00AD72D5"/>
    <w:rsid w:val="00AE1A4F"/>
    <w:rsid w:val="00AE62AF"/>
    <w:rsid w:val="00AF0454"/>
    <w:rsid w:val="00B25212"/>
    <w:rsid w:val="00B329DF"/>
    <w:rsid w:val="00B602B4"/>
    <w:rsid w:val="00B75E98"/>
    <w:rsid w:val="00BA17B5"/>
    <w:rsid w:val="00BD1BE0"/>
    <w:rsid w:val="00BE5787"/>
    <w:rsid w:val="00BE7A03"/>
    <w:rsid w:val="00C01B12"/>
    <w:rsid w:val="00C0453E"/>
    <w:rsid w:val="00C277D5"/>
    <w:rsid w:val="00C40D5A"/>
    <w:rsid w:val="00C43DE1"/>
    <w:rsid w:val="00C619A4"/>
    <w:rsid w:val="00C6524E"/>
    <w:rsid w:val="00C662C4"/>
    <w:rsid w:val="00C96778"/>
    <w:rsid w:val="00CD1713"/>
    <w:rsid w:val="00CF3563"/>
    <w:rsid w:val="00CF7F58"/>
    <w:rsid w:val="00D521B8"/>
    <w:rsid w:val="00D625B8"/>
    <w:rsid w:val="00D65EC6"/>
    <w:rsid w:val="00D753C6"/>
    <w:rsid w:val="00DA34E1"/>
    <w:rsid w:val="00DA5B66"/>
    <w:rsid w:val="00DF7000"/>
    <w:rsid w:val="00DF7D64"/>
    <w:rsid w:val="00E03482"/>
    <w:rsid w:val="00E14CBE"/>
    <w:rsid w:val="00E326B8"/>
    <w:rsid w:val="00E43BFA"/>
    <w:rsid w:val="00E44EBF"/>
    <w:rsid w:val="00E5701A"/>
    <w:rsid w:val="00E61812"/>
    <w:rsid w:val="00E70245"/>
    <w:rsid w:val="00E74BB3"/>
    <w:rsid w:val="00E867D1"/>
    <w:rsid w:val="00E902FC"/>
    <w:rsid w:val="00EE0D3B"/>
    <w:rsid w:val="00EE4626"/>
    <w:rsid w:val="00EF029B"/>
    <w:rsid w:val="00F0003A"/>
    <w:rsid w:val="00F46EF5"/>
    <w:rsid w:val="00F47846"/>
    <w:rsid w:val="00F65605"/>
    <w:rsid w:val="00F7292D"/>
    <w:rsid w:val="00FB1F4F"/>
    <w:rsid w:val="00FF49C6"/>
    <w:rsid w:val="0DB40F06"/>
    <w:rsid w:val="120945EA"/>
    <w:rsid w:val="1BB5715A"/>
    <w:rsid w:val="2AF711EA"/>
    <w:rsid w:val="2D443D65"/>
    <w:rsid w:val="37056541"/>
    <w:rsid w:val="3F5252BC"/>
    <w:rsid w:val="4E1B359F"/>
    <w:rsid w:val="4ED35788"/>
    <w:rsid w:val="501E3412"/>
    <w:rsid w:val="507A3728"/>
    <w:rsid w:val="524F3B13"/>
    <w:rsid w:val="56F82A15"/>
    <w:rsid w:val="5D7C08ED"/>
    <w:rsid w:val="61027651"/>
    <w:rsid w:val="61D8154E"/>
    <w:rsid w:val="62044F32"/>
    <w:rsid w:val="68846790"/>
    <w:rsid w:val="754F4BF5"/>
    <w:rsid w:val="77CB388D"/>
    <w:rsid w:val="783251EB"/>
    <w:rsid w:val="7F1C2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  <w:i/>
      <w:sz w:val="28"/>
    </w:rPr>
  </w:style>
  <w:style w:type="paragraph" w:styleId="3">
    <w:name w:val="heading 3"/>
    <w:basedOn w:val="1"/>
    <w:next w:val="1"/>
    <w:qFormat/>
    <w:uiPriority w:val="0"/>
    <w:pPr>
      <w:keepNext/>
      <w:outlineLvl w:val="2"/>
    </w:pPr>
    <w:rPr>
      <w:b/>
      <w:sz w:val="16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lock Text"/>
    <w:basedOn w:val="1"/>
    <w:qFormat/>
    <w:uiPriority w:val="0"/>
    <w:pPr>
      <w:tabs>
        <w:tab w:val="left" w:pos="-1440"/>
        <w:tab w:val="left" w:pos="-720"/>
        <w:tab w:val="left" w:pos="1200"/>
        <w:tab w:val="left" w:pos="1440"/>
      </w:tabs>
      <w:suppressAutoHyphens/>
      <w:spacing w:line="228" w:lineRule="auto"/>
      <w:ind w:left="1200" w:right="605" w:hanging="800"/>
      <w:jc w:val="both"/>
    </w:pPr>
    <w:rPr>
      <w:rFonts w:ascii="CG Times" w:hAnsi="CG Times" w:eastAsia="PMingLiU"/>
      <w:spacing w:val="-3"/>
      <w:sz w:val="24"/>
      <w:lang w:eastAsia="en-US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link w:val="14"/>
    <w:qFormat/>
    <w:uiPriority w:val="99"/>
    <w:pPr>
      <w:tabs>
        <w:tab w:val="center" w:pos="4320"/>
        <w:tab w:val="right" w:pos="8640"/>
      </w:tabs>
    </w:pPr>
    <w:rPr>
      <w:sz w:val="24"/>
      <w:lang w:val="zh-CN"/>
    </w:rPr>
  </w:style>
  <w:style w:type="paragraph" w:styleId="7">
    <w:name w:val="Subtitle"/>
    <w:basedOn w:val="1"/>
    <w:link w:val="16"/>
    <w:qFormat/>
    <w:uiPriority w:val="0"/>
    <w:pPr>
      <w:widowControl w:val="0"/>
    </w:pPr>
    <w:rPr>
      <w:rFonts w:ascii="Garamond" w:hAnsi="Garamond" w:eastAsia="Times New Roman"/>
      <w:b/>
      <w:snapToGrid w:val="0"/>
      <w:sz w:val="24"/>
      <w:lang w:val="zh-CN" w:eastAsia="en-US"/>
    </w:rPr>
  </w:style>
  <w:style w:type="table" w:styleId="9">
    <w:name w:val="Table Grid"/>
    <w:basedOn w:val="8"/>
    <w:qFormat/>
    <w:uiPriority w:val="59"/>
    <w:rPr>
      <w:rFonts w:ascii="Calibri" w:hAnsi="Calibri"/>
      <w:sz w:val="22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page number"/>
    <w:basedOn w:val="10"/>
    <w:qFormat/>
    <w:uiPriority w:val="0"/>
  </w:style>
  <w:style w:type="paragraph" w:customStyle="1" w:styleId="13">
    <w:name w:val="列出段落"/>
    <w:basedOn w:val="1"/>
    <w:qFormat/>
    <w:uiPriority w:val="34"/>
    <w:pPr>
      <w:widowControl w:val="0"/>
      <w:ind w:left="720"/>
      <w:contextualSpacing/>
      <w:jc w:val="both"/>
    </w:pPr>
    <w:rPr>
      <w:rFonts w:ascii="Arial" w:hAnsi="Arial"/>
      <w:kern w:val="2"/>
      <w:sz w:val="24"/>
      <w:szCs w:val="24"/>
    </w:rPr>
  </w:style>
  <w:style w:type="character" w:customStyle="1" w:styleId="14">
    <w:name w:val="页眉 字符"/>
    <w:link w:val="6"/>
    <w:qFormat/>
    <w:uiPriority w:val="99"/>
    <w:rPr>
      <w:sz w:val="24"/>
    </w:rPr>
  </w:style>
  <w:style w:type="paragraph" w:customStyle="1" w:styleId="15">
    <w:name w:val="Default Text"/>
    <w:basedOn w:val="1"/>
    <w:qFormat/>
    <w:uiPriority w:val="0"/>
    <w:rPr>
      <w:sz w:val="24"/>
      <w:lang w:eastAsia="en-US"/>
    </w:rPr>
  </w:style>
  <w:style w:type="character" w:customStyle="1" w:styleId="16">
    <w:name w:val="副标题 字符"/>
    <w:link w:val="7"/>
    <w:qFormat/>
    <w:uiPriority w:val="0"/>
    <w:rPr>
      <w:rFonts w:ascii="Garamond" w:hAnsi="Garamond" w:eastAsia="Times New Roman"/>
      <w:b/>
      <w:snapToGrid w:val="0"/>
      <w:sz w:val="24"/>
      <w:lang w:eastAsia="en-US"/>
    </w:rPr>
  </w:style>
  <w:style w:type="paragraph" w:customStyle="1" w:styleId="17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EDFCEA8-DECD-4E6B-9A28-D829AB215EF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DELLNBX</Company>
  <Pages>2</Pages>
  <Words>213</Words>
  <Characters>1217</Characters>
  <Lines>10</Lines>
  <Paragraphs>2</Paragraphs>
  <TotalTime>0</TotalTime>
  <ScaleCrop>false</ScaleCrop>
  <LinksUpToDate>false</LinksUpToDate>
  <CharactersWithSpaces>1428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2022-10-20T02:32:00Z</dcterms:created>
  <dc:creator>lucy</dc:creator>
  <cp:lastModifiedBy>冯亮</cp:lastModifiedBy>
  <dcterms:modified xsi:type="dcterms:W3CDTF">2023-11-24T02:59:44Z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B1256F8619C646108D5B0C11A70A462A</vt:lpwstr>
  </property>
</Properties>
</file>