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W w:w="1007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20"/>
        <w:gridCol w:w="3603"/>
        <w:gridCol w:w="305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  <w:jc w:val="center"/>
        </w:trPr>
        <w:tc>
          <w:tcPr>
            <w:tcW w:w="10075" w:type="dxa"/>
            <w:gridSpan w:val="3"/>
          </w:tcPr>
          <w:p>
            <w:pPr>
              <w:pStyle w:val="2"/>
              <w:jc w:val="center"/>
              <w:rPr>
                <w:i w:val="0"/>
                <w:sz w:val="24"/>
              </w:rPr>
            </w:pPr>
            <w:r>
              <w:rPr>
                <w:rFonts w:hint="eastAsia" w:ascii="黑体" w:hAnsi="黑体" w:eastAsia="黑体"/>
                <w:b w:val="0"/>
                <w:i w:val="0"/>
                <w:sz w:val="30"/>
                <w:szCs w:val="30"/>
              </w:rPr>
              <w:t>政策与程序</w:t>
            </w:r>
            <w:r>
              <w:rPr>
                <w:i w:val="0"/>
                <w:color w:val="000000"/>
              </w:rPr>
              <w:t>POLICY AND PROCEDURES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  <w:jc w:val="center"/>
        </w:trPr>
        <w:tc>
          <w:tcPr>
            <w:tcW w:w="3420" w:type="dxa"/>
          </w:tcPr>
          <w:p>
            <w:pPr>
              <w:pStyle w:val="8"/>
              <w:tabs>
                <w:tab w:val="clear" w:pos="4320"/>
                <w:tab w:val="clear" w:pos="8640"/>
              </w:tabs>
              <w:rPr>
                <w:b/>
                <w:sz w:val="18"/>
              </w:rPr>
            </w:pPr>
            <w:r>
              <w:rPr>
                <w:rFonts w:hint="eastAsia" w:ascii="黑体" w:hAnsi="黑体" w:eastAsia="黑体"/>
                <w:szCs w:val="24"/>
              </w:rPr>
              <w:t>档号</w:t>
            </w:r>
            <w:r>
              <w:rPr>
                <w:b/>
                <w:sz w:val="18"/>
              </w:rPr>
              <w:t>Policy No.</w:t>
            </w:r>
            <w:r>
              <w:rPr>
                <w:rFonts w:hint="eastAsia" w:ascii="宋体" w:hAnsi="宋体"/>
                <w:sz w:val="28"/>
              </w:rPr>
              <w:t>：</w:t>
            </w:r>
            <w:r>
              <w:rPr>
                <w:rFonts w:hint="eastAsia"/>
                <w:szCs w:val="24"/>
              </w:rPr>
              <w:t>SEC/SOP/</w:t>
            </w:r>
            <w:r>
              <w:rPr>
                <w:szCs w:val="24"/>
              </w:rPr>
              <w:t>029</w:t>
            </w:r>
          </w:p>
        </w:tc>
        <w:tc>
          <w:tcPr>
            <w:tcW w:w="3603" w:type="dxa"/>
          </w:tcPr>
          <w:p>
            <w:pPr>
              <w:pStyle w:val="8"/>
              <w:tabs>
                <w:tab w:val="clear" w:pos="4320"/>
                <w:tab w:val="clear" w:pos="8640"/>
              </w:tabs>
              <w:rPr>
                <w:b/>
                <w:sz w:val="18"/>
              </w:rPr>
            </w:pPr>
            <w:r>
              <w:rPr>
                <w:rFonts w:hint="eastAsia" w:ascii="黑体" w:hAnsi="黑体" w:eastAsia="黑体"/>
                <w:szCs w:val="24"/>
              </w:rPr>
              <w:t>部门</w:t>
            </w:r>
            <w:r>
              <w:rPr>
                <w:b/>
                <w:sz w:val="18"/>
              </w:rPr>
              <w:t>Department</w:t>
            </w:r>
            <w:r>
              <w:rPr>
                <w:rFonts w:hint="eastAsia" w:ascii="宋体" w:hAnsi="宋体"/>
                <w:sz w:val="28"/>
              </w:rPr>
              <w:t>：</w:t>
            </w:r>
            <w:r>
              <w:rPr>
                <w:rFonts w:hint="eastAsia" w:ascii="宋体" w:hAnsi="宋体" w:cs="Tahoma"/>
                <w:szCs w:val="24"/>
              </w:rPr>
              <w:t>保安部Security</w:t>
            </w:r>
          </w:p>
        </w:tc>
        <w:tc>
          <w:tcPr>
            <w:tcW w:w="3052" w:type="dxa"/>
            <w:vAlign w:val="center"/>
          </w:tcPr>
          <w:p>
            <w:pPr>
              <w:pStyle w:val="8"/>
              <w:tabs>
                <w:tab w:val="clear" w:pos="4320"/>
                <w:tab w:val="clear" w:pos="8640"/>
              </w:tabs>
              <w:jc w:val="both"/>
              <w:rPr>
                <w:b/>
                <w:sz w:val="18"/>
              </w:rPr>
            </w:pPr>
            <w:r>
              <w:rPr>
                <w:rFonts w:hint="eastAsia" w:ascii="黑体" w:hAnsi="黑体" w:eastAsia="黑体"/>
                <w:szCs w:val="24"/>
              </w:rPr>
              <w:t>分部门</w:t>
            </w:r>
            <w:r>
              <w:rPr>
                <w:rFonts w:hint="eastAsia"/>
                <w:b/>
                <w:sz w:val="18"/>
              </w:rPr>
              <w:t>Section</w:t>
            </w:r>
            <w:r>
              <w:rPr>
                <w:rFonts w:hint="eastAsia" w:ascii="宋体" w:hAnsi="宋体"/>
                <w:sz w:val="28"/>
              </w:rPr>
              <w:t>：</w:t>
            </w:r>
            <w:r>
              <w:rPr>
                <w:rFonts w:hint="eastAsia" w:ascii="宋体" w:hAnsi="宋体"/>
                <w:szCs w:val="24"/>
              </w:rPr>
              <w:t>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60" w:hRule="atLeast"/>
          <w:jc w:val="center"/>
        </w:trPr>
        <w:tc>
          <w:tcPr>
            <w:tcW w:w="3420" w:type="dxa"/>
          </w:tcPr>
          <w:p>
            <w:pPr>
              <w:pStyle w:val="8"/>
              <w:tabs>
                <w:tab w:val="clear" w:pos="4320"/>
                <w:tab w:val="clear" w:pos="8640"/>
              </w:tabs>
              <w:spacing w:line="400" w:lineRule="exact"/>
              <w:rPr>
                <w:b/>
                <w:sz w:val="18"/>
              </w:rPr>
            </w:pPr>
            <w:r>
              <w:rPr>
                <w:rFonts w:hint="eastAsia" w:ascii="黑体" w:hAnsi="黑体" w:eastAsia="黑体"/>
                <w:szCs w:val="24"/>
              </w:rPr>
              <w:t>编订</w:t>
            </w:r>
            <w:r>
              <w:rPr>
                <w:b/>
                <w:sz w:val="18"/>
              </w:rPr>
              <w:t>Prepared by:</w:t>
            </w:r>
          </w:p>
          <w:p>
            <w:pPr>
              <w:pStyle w:val="8"/>
              <w:tabs>
                <w:tab w:val="clear" w:pos="4320"/>
                <w:tab w:val="clear" w:pos="8640"/>
              </w:tabs>
              <w:rPr>
                <w:b/>
                <w:sz w:val="16"/>
              </w:rPr>
            </w:pPr>
          </w:p>
          <w:p>
            <w:pPr>
              <w:pStyle w:val="8"/>
              <w:tabs>
                <w:tab w:val="clear" w:pos="4320"/>
                <w:tab w:val="clear" w:pos="8640"/>
              </w:tabs>
              <w:rPr>
                <w:szCs w:val="24"/>
              </w:rPr>
            </w:pPr>
            <w:r>
              <w:rPr>
                <w:rFonts w:hint="eastAsia" w:ascii="黑体" w:hAnsi="黑体" w:eastAsia="黑体"/>
                <w:szCs w:val="24"/>
              </w:rPr>
              <w:t>签名</w:t>
            </w:r>
            <w:r>
              <w:rPr>
                <w:rFonts w:hint="eastAsia"/>
                <w:szCs w:val="24"/>
              </w:rPr>
              <w:t>：</w:t>
            </w:r>
          </w:p>
          <w:p>
            <w:pPr>
              <w:pStyle w:val="8"/>
              <w:tabs>
                <w:tab w:val="clear" w:pos="4320"/>
                <w:tab w:val="clear" w:pos="8640"/>
              </w:tabs>
              <w:rPr>
                <w:b/>
                <w:sz w:val="16"/>
              </w:rPr>
            </w:pPr>
            <w:r>
              <w:rPr>
                <w:b/>
                <w:sz w:val="20"/>
              </w:rPr>
              <w:pict>
                <v:line id="_x0000_s2050" o:spid="_x0000_s2050" o:spt="20" style="position:absolute;left:0pt;margin-left:36pt;margin-top:3.5pt;height:0pt;width:0pt;z-index:251659264;mso-width-relative:page;mso-height-relative:page;" coordsize="21600,21600" o:allowincell="f">
                  <v:path arrowok="t"/>
                  <v:fill focussize="0,0"/>
                  <v:stroke/>
                  <v:imagedata o:title=""/>
                  <o:lock v:ext="edit"/>
                </v:line>
              </w:pict>
            </w:r>
            <w:r>
              <w:rPr>
                <w:b/>
                <w:sz w:val="16"/>
              </w:rPr>
              <w:t xml:space="preserve">Signature: </w:t>
            </w:r>
          </w:p>
        </w:tc>
        <w:tc>
          <w:tcPr>
            <w:tcW w:w="3603" w:type="dxa"/>
          </w:tcPr>
          <w:p>
            <w:pPr>
              <w:pStyle w:val="8"/>
              <w:tabs>
                <w:tab w:val="clear" w:pos="4320"/>
                <w:tab w:val="clear" w:pos="8640"/>
              </w:tabs>
              <w:spacing w:line="400" w:lineRule="exact"/>
              <w:rPr>
                <w:b/>
                <w:sz w:val="18"/>
              </w:rPr>
            </w:pPr>
            <w:r>
              <w:rPr>
                <w:rFonts w:hint="eastAsia" w:ascii="黑体" w:hAnsi="黑体" w:eastAsia="黑体"/>
                <w:szCs w:val="24"/>
              </w:rPr>
              <w:t>发布</w:t>
            </w:r>
            <w:r>
              <w:rPr>
                <w:b/>
                <w:sz w:val="18"/>
              </w:rPr>
              <w:t>Issued by:</w:t>
            </w:r>
          </w:p>
          <w:p>
            <w:pPr>
              <w:pStyle w:val="8"/>
              <w:tabs>
                <w:tab w:val="clear" w:pos="4320"/>
                <w:tab w:val="clear" w:pos="8640"/>
              </w:tabs>
              <w:rPr>
                <w:b/>
                <w:sz w:val="16"/>
              </w:rPr>
            </w:pPr>
          </w:p>
          <w:p>
            <w:pPr>
              <w:pStyle w:val="8"/>
              <w:tabs>
                <w:tab w:val="clear" w:pos="4320"/>
                <w:tab w:val="clear" w:pos="8640"/>
              </w:tabs>
              <w:rPr>
                <w:szCs w:val="24"/>
              </w:rPr>
            </w:pPr>
            <w:r>
              <w:rPr>
                <w:rFonts w:hint="eastAsia" w:ascii="黑体" w:hAnsi="黑体" w:eastAsia="黑体"/>
                <w:szCs w:val="24"/>
              </w:rPr>
              <w:t>签名</w:t>
            </w:r>
            <w:r>
              <w:rPr>
                <w:rFonts w:hint="eastAsia"/>
                <w:szCs w:val="24"/>
              </w:rPr>
              <w:t>：</w:t>
            </w:r>
          </w:p>
          <w:p>
            <w:pPr>
              <w:pStyle w:val="8"/>
              <w:tabs>
                <w:tab w:val="clear" w:pos="4320"/>
                <w:tab w:val="clear" w:pos="8640"/>
              </w:tabs>
              <w:rPr>
                <w:b/>
                <w:sz w:val="16"/>
              </w:rPr>
            </w:pPr>
            <w:r>
              <w:rPr>
                <w:b/>
                <w:sz w:val="16"/>
              </w:rPr>
              <w:t>Signature:</w:t>
            </w:r>
          </w:p>
        </w:tc>
        <w:tc>
          <w:tcPr>
            <w:tcW w:w="3052" w:type="dxa"/>
          </w:tcPr>
          <w:p>
            <w:pPr>
              <w:pStyle w:val="8"/>
              <w:tabs>
                <w:tab w:val="clear" w:pos="4320"/>
                <w:tab w:val="clear" w:pos="8640"/>
              </w:tabs>
              <w:spacing w:line="400" w:lineRule="exact"/>
              <w:rPr>
                <w:b/>
                <w:sz w:val="16"/>
              </w:rPr>
            </w:pPr>
            <w:r>
              <w:rPr>
                <w:rFonts w:hint="eastAsia" w:ascii="黑体" w:hAnsi="黑体" w:eastAsia="黑体"/>
                <w:szCs w:val="24"/>
              </w:rPr>
              <w:t>总经理审批</w:t>
            </w:r>
            <w:r>
              <w:rPr>
                <w:b/>
                <w:sz w:val="18"/>
              </w:rPr>
              <w:t>GM approval:</w:t>
            </w:r>
          </w:p>
          <w:p>
            <w:pPr>
              <w:pStyle w:val="8"/>
              <w:tabs>
                <w:tab w:val="clear" w:pos="4320"/>
                <w:tab w:val="clear" w:pos="8640"/>
              </w:tabs>
              <w:rPr>
                <w:b/>
                <w:sz w:val="16"/>
              </w:rPr>
            </w:pPr>
          </w:p>
          <w:p>
            <w:pPr>
              <w:pStyle w:val="8"/>
              <w:tabs>
                <w:tab w:val="clear" w:pos="4320"/>
                <w:tab w:val="clear" w:pos="8640"/>
              </w:tabs>
              <w:rPr>
                <w:szCs w:val="24"/>
              </w:rPr>
            </w:pPr>
            <w:r>
              <w:rPr>
                <w:rFonts w:hint="eastAsia" w:ascii="黑体" w:hAnsi="黑体" w:eastAsia="黑体"/>
                <w:szCs w:val="24"/>
              </w:rPr>
              <w:t>签名</w:t>
            </w:r>
            <w:r>
              <w:rPr>
                <w:rFonts w:hint="eastAsia"/>
                <w:szCs w:val="24"/>
              </w:rPr>
              <w:t>：</w:t>
            </w:r>
          </w:p>
          <w:p>
            <w:pPr>
              <w:pStyle w:val="8"/>
              <w:tabs>
                <w:tab w:val="clear" w:pos="4320"/>
                <w:tab w:val="clear" w:pos="8640"/>
              </w:tabs>
              <w:rPr>
                <w:b/>
                <w:sz w:val="16"/>
              </w:rPr>
            </w:pPr>
            <w:r>
              <w:rPr>
                <w:b/>
                <w:sz w:val="16"/>
              </w:rPr>
              <w:t>Signature: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20" w:type="dxa"/>
          </w:tcPr>
          <w:p>
            <w:pPr>
              <w:pStyle w:val="8"/>
              <w:tabs>
                <w:tab w:val="clear" w:pos="4320"/>
                <w:tab w:val="clear" w:pos="8640"/>
              </w:tabs>
              <w:spacing w:line="440" w:lineRule="exact"/>
              <w:rPr>
                <w:b/>
                <w:sz w:val="18"/>
              </w:rPr>
            </w:pPr>
            <w:r>
              <w:rPr>
                <w:rFonts w:hint="eastAsia" w:ascii="黑体" w:hAnsi="黑体" w:eastAsia="黑体"/>
                <w:szCs w:val="24"/>
              </w:rPr>
              <w:t>生效日期</w:t>
            </w:r>
            <w:r>
              <w:rPr>
                <w:b/>
                <w:sz w:val="18"/>
              </w:rPr>
              <w:t xml:space="preserve">Effective Date: </w:t>
            </w:r>
          </w:p>
          <w:p>
            <w:pPr>
              <w:pStyle w:val="8"/>
              <w:tabs>
                <w:tab w:val="clear" w:pos="4320"/>
                <w:tab w:val="clear" w:pos="8640"/>
              </w:tabs>
              <w:spacing w:line="440" w:lineRule="exact"/>
              <w:rPr>
                <w:b/>
                <w:sz w:val="18"/>
              </w:rPr>
            </w:pPr>
            <w:r>
              <w:rPr>
                <w:rFonts w:hint="eastAsia" w:ascii="宋体" w:hAnsi="宋体"/>
                <w:szCs w:val="24"/>
              </w:rPr>
              <w:t>20</w:t>
            </w:r>
            <w:r>
              <w:rPr>
                <w:rFonts w:ascii="宋体" w:hAnsi="宋体"/>
                <w:szCs w:val="24"/>
              </w:rPr>
              <w:t>2</w:t>
            </w:r>
            <w:r>
              <w:rPr>
                <w:rFonts w:hint="eastAsia" w:ascii="宋体" w:hAnsi="宋体"/>
                <w:szCs w:val="24"/>
                <w:lang w:val="en-US" w:eastAsia="zh-CN"/>
              </w:rPr>
              <w:t>3</w:t>
            </w:r>
            <w:r>
              <w:rPr>
                <w:rFonts w:hint="eastAsia" w:ascii="宋体" w:hAnsi="宋体"/>
                <w:szCs w:val="24"/>
              </w:rPr>
              <w:t>年</w:t>
            </w:r>
            <w:r>
              <w:rPr>
                <w:rFonts w:hint="eastAsia" w:ascii="宋体" w:hAnsi="宋体"/>
                <w:szCs w:val="24"/>
                <w:lang w:val="en-US" w:eastAsia="zh-CN"/>
              </w:rPr>
              <w:t>9</w:t>
            </w:r>
            <w:r>
              <w:rPr>
                <w:rFonts w:hint="eastAsia" w:ascii="宋体" w:hAnsi="宋体"/>
                <w:szCs w:val="24"/>
              </w:rPr>
              <w:t>月1日</w:t>
            </w:r>
            <w:bookmarkStart w:id="0" w:name="_GoBack"/>
            <w:bookmarkEnd w:id="0"/>
          </w:p>
        </w:tc>
        <w:tc>
          <w:tcPr>
            <w:tcW w:w="3603" w:type="dxa"/>
          </w:tcPr>
          <w:p>
            <w:pPr>
              <w:pStyle w:val="8"/>
              <w:tabs>
                <w:tab w:val="clear" w:pos="4320"/>
                <w:tab w:val="clear" w:pos="8640"/>
              </w:tabs>
              <w:spacing w:line="440" w:lineRule="exact"/>
              <w:rPr>
                <w:b/>
                <w:sz w:val="18"/>
              </w:rPr>
            </w:pPr>
            <w:r>
              <w:rPr>
                <w:rFonts w:hint="eastAsia" w:ascii="黑体" w:hAnsi="黑体" w:eastAsia="黑体"/>
                <w:szCs w:val="24"/>
              </w:rPr>
              <w:t>取代</w:t>
            </w:r>
            <w:r>
              <w:rPr>
                <w:b/>
                <w:sz w:val="18"/>
              </w:rPr>
              <w:t>Supersedes:</w:t>
            </w:r>
          </w:p>
          <w:p>
            <w:pPr>
              <w:pStyle w:val="8"/>
              <w:tabs>
                <w:tab w:val="clear" w:pos="4320"/>
                <w:tab w:val="clear" w:pos="8640"/>
              </w:tabs>
              <w:spacing w:line="440" w:lineRule="exact"/>
              <w:rPr>
                <w:b/>
                <w:sz w:val="18"/>
              </w:rPr>
            </w:pPr>
            <w:r>
              <w:rPr>
                <w:rFonts w:hint="eastAsia" w:ascii="宋体" w:hAnsi="宋体"/>
                <w:szCs w:val="24"/>
              </w:rPr>
              <w:t>原档号：</w:t>
            </w:r>
            <w:r>
              <w:rPr>
                <w:rFonts w:hint="eastAsia"/>
                <w:szCs w:val="24"/>
              </w:rPr>
              <w:t>SEC/P&amp;P/36</w:t>
            </w:r>
          </w:p>
        </w:tc>
        <w:tc>
          <w:tcPr>
            <w:tcW w:w="3052" w:type="dxa"/>
          </w:tcPr>
          <w:p>
            <w:pPr>
              <w:pStyle w:val="3"/>
              <w:spacing w:line="440" w:lineRule="exact"/>
              <w:rPr>
                <w:sz w:val="18"/>
              </w:rPr>
            </w:pPr>
            <w:r>
              <w:rPr>
                <w:rFonts w:hint="eastAsia" w:ascii="黑体" w:hAnsi="黑体" w:eastAsia="黑体"/>
                <w:b w:val="0"/>
                <w:sz w:val="24"/>
                <w:szCs w:val="24"/>
              </w:rPr>
              <w:t>分发</w:t>
            </w:r>
            <w:r>
              <w:rPr>
                <w:sz w:val="18"/>
              </w:rPr>
              <w:t xml:space="preserve">Distribution: </w:t>
            </w:r>
          </w:p>
          <w:p>
            <w:pPr>
              <w:spacing w:line="440" w:lineRule="exact"/>
            </w:pPr>
          </w:p>
        </w:tc>
      </w:tr>
    </w:tbl>
    <w:p>
      <w:pPr>
        <w:rPr>
          <w:rFonts w:ascii="新宋体" w:hAnsi="新宋体" w:eastAsia="新宋体"/>
        </w:rPr>
      </w:pPr>
    </w:p>
    <w:tbl>
      <w:tblPr>
        <w:tblStyle w:val="9"/>
        <w:tblW w:w="1008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8" w:hRule="exact"/>
          <w:jc w:val="center"/>
        </w:trPr>
        <w:tc>
          <w:tcPr>
            <w:tcW w:w="10085" w:type="dxa"/>
            <w:vAlign w:val="center"/>
          </w:tcPr>
          <w:p>
            <w:pPr>
              <w:rPr>
                <w:rFonts w:ascii="Tahoma" w:hAnsi="Tahoma" w:cs="Tahoma"/>
                <w:b/>
                <w:bCs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主题:</w:t>
            </w:r>
            <w:r>
              <w:rPr>
                <w:rFonts w:ascii="黑体" w:hAnsi="黑体" w:eastAsia="黑体"/>
                <w:sz w:val="24"/>
                <w:szCs w:val="24"/>
              </w:rPr>
              <w:t xml:space="preserve"> </w:t>
            </w:r>
            <w:r>
              <w:rPr>
                <w:rFonts w:cs="Tahoma"/>
                <w:spacing w:val="-3"/>
                <w:sz w:val="24"/>
              </w:rPr>
              <w:t>住店宾客丢失财物处理</w:t>
            </w:r>
            <w:r>
              <w:rPr>
                <w:rFonts w:hint="eastAsia" w:cs="Tahoma"/>
                <w:spacing w:val="-3"/>
                <w:sz w:val="24"/>
              </w:rPr>
              <w:t>程序</w:t>
            </w:r>
            <w:r>
              <w:rPr>
                <w:rFonts w:hint="eastAsia" w:cs="Tahoma"/>
                <w:b/>
                <w:bCs/>
                <w:sz w:val="24"/>
              </w:rPr>
              <w:t xml:space="preserve"> </w:t>
            </w:r>
          </w:p>
        </w:tc>
      </w:tr>
    </w:tbl>
    <w:p>
      <w:pPr>
        <w:rPr>
          <w:rFonts w:ascii="新宋体" w:hAnsi="新宋体" w:eastAsia="新宋体"/>
        </w:rPr>
      </w:pPr>
    </w:p>
    <w:tbl>
      <w:tblPr>
        <w:tblStyle w:val="9"/>
        <w:tblW w:w="1008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6" w:hRule="atLeast"/>
          <w:jc w:val="center"/>
        </w:trPr>
        <w:tc>
          <w:tcPr>
            <w:tcW w:w="10080" w:type="dxa"/>
            <w:vAlign w:val="center"/>
          </w:tcPr>
          <w:p>
            <w:pPr>
              <w:spacing w:line="460" w:lineRule="exact"/>
              <w:jc w:val="both"/>
              <w:rPr>
                <w:rFonts w:ascii="Tahoma" w:hAnsi="Tahoma" w:cs="Tahoma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目的</w:t>
            </w:r>
            <w:r>
              <w:rPr>
                <w:rFonts w:hint="eastAsia"/>
                <w:sz w:val="28"/>
                <w:szCs w:val="28"/>
              </w:rPr>
              <w:t>：</w:t>
            </w:r>
          </w:p>
          <w:p>
            <w:pPr>
              <w:numPr>
                <w:ilvl w:val="0"/>
                <w:numId w:val="1"/>
              </w:numPr>
              <w:tabs>
                <w:tab w:val="left" w:pos="539"/>
              </w:tabs>
              <w:ind w:left="539" w:right="1133" w:hanging="539"/>
              <w:rPr>
                <w:rFonts w:cs="Tahoma"/>
                <w:sz w:val="24"/>
              </w:rPr>
            </w:pPr>
            <w:r>
              <w:rPr>
                <w:rFonts w:cs="Tahoma"/>
                <w:sz w:val="24"/>
              </w:rPr>
              <w:t>为了保证客人、员工和酒店财产安全，避免或减少事故的发生</w:t>
            </w:r>
          </w:p>
          <w:p>
            <w:pPr>
              <w:tabs>
                <w:tab w:val="left" w:pos="539"/>
              </w:tabs>
              <w:ind w:left="539" w:right="1133"/>
              <w:rPr>
                <w:rFonts w:ascii="Tahoma" w:cs="Tahoma"/>
              </w:rPr>
            </w:pPr>
          </w:p>
        </w:tc>
      </w:tr>
    </w:tbl>
    <w:p>
      <w:pPr>
        <w:rPr>
          <w:rFonts w:ascii="新宋体" w:hAnsi="新宋体" w:eastAsia="新宋体"/>
        </w:rPr>
      </w:pPr>
    </w:p>
    <w:tbl>
      <w:tblPr>
        <w:tblStyle w:val="9"/>
        <w:tblW w:w="10080" w:type="dxa"/>
        <w:tblInd w:w="-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</w:trPr>
        <w:tc>
          <w:tcPr>
            <w:tcW w:w="10080" w:type="dxa"/>
          </w:tcPr>
          <w:p>
            <w:pPr>
              <w:spacing w:line="4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制度</w:t>
            </w:r>
            <w:r>
              <w:rPr>
                <w:rFonts w:hint="eastAsia" w:ascii="宋体" w:hAnsi="宋体"/>
                <w:sz w:val="24"/>
                <w:szCs w:val="24"/>
              </w:rPr>
              <w:t>：</w:t>
            </w:r>
          </w:p>
          <w:p>
            <w:pPr>
              <w:numPr>
                <w:ilvl w:val="0"/>
                <w:numId w:val="2"/>
              </w:numPr>
              <w:tabs>
                <w:tab w:val="left" w:pos="498"/>
                <w:tab w:val="left" w:pos="539"/>
              </w:tabs>
              <w:ind w:left="539" w:right="1133" w:hanging="539"/>
              <w:rPr>
                <w:rFonts w:cs="Tahoma"/>
                <w:sz w:val="24"/>
              </w:rPr>
            </w:pPr>
            <w:r>
              <w:rPr>
                <w:rFonts w:cs="Tahoma"/>
                <w:sz w:val="24"/>
              </w:rPr>
              <w:t xml:space="preserve">报案处理 </w:t>
            </w:r>
          </w:p>
          <w:p>
            <w:pPr>
              <w:numPr>
                <w:ilvl w:val="0"/>
                <w:numId w:val="2"/>
              </w:numPr>
              <w:tabs>
                <w:tab w:val="left" w:pos="498"/>
                <w:tab w:val="left" w:pos="539"/>
              </w:tabs>
              <w:ind w:left="539" w:right="1133" w:hanging="539"/>
              <w:rPr>
                <w:rFonts w:cs="Tahoma"/>
                <w:sz w:val="24"/>
              </w:rPr>
            </w:pPr>
            <w:r>
              <w:rPr>
                <w:rFonts w:cs="Tahoma"/>
                <w:sz w:val="24"/>
              </w:rPr>
              <w:t xml:space="preserve">赶赴现场处理 </w:t>
            </w:r>
          </w:p>
          <w:p>
            <w:pPr>
              <w:numPr>
                <w:ilvl w:val="0"/>
                <w:numId w:val="2"/>
              </w:numPr>
              <w:tabs>
                <w:tab w:val="left" w:pos="498"/>
                <w:tab w:val="left" w:pos="539"/>
              </w:tabs>
              <w:ind w:left="539" w:right="1133" w:hanging="539"/>
              <w:rPr>
                <w:rFonts w:cs="Tahoma"/>
                <w:sz w:val="24"/>
              </w:rPr>
            </w:pPr>
            <w:r>
              <w:rPr>
                <w:rFonts w:cs="Tahoma"/>
                <w:sz w:val="24"/>
              </w:rPr>
              <w:t>做好访问笔录(请看附件)：</w:t>
            </w:r>
          </w:p>
          <w:p>
            <w:pPr>
              <w:numPr>
                <w:ilvl w:val="0"/>
                <w:numId w:val="2"/>
              </w:numPr>
              <w:tabs>
                <w:tab w:val="left" w:pos="498"/>
                <w:tab w:val="left" w:pos="539"/>
              </w:tabs>
              <w:ind w:left="539" w:right="1133" w:hanging="539"/>
              <w:rPr>
                <w:rFonts w:cs="Tahoma"/>
                <w:sz w:val="24"/>
              </w:rPr>
            </w:pPr>
            <w:r>
              <w:rPr>
                <w:rFonts w:cs="Tahoma"/>
                <w:sz w:val="24"/>
              </w:rPr>
              <w:t xml:space="preserve">仔细检查现场：: </w:t>
            </w:r>
          </w:p>
          <w:p>
            <w:pPr>
              <w:numPr>
                <w:ilvl w:val="0"/>
                <w:numId w:val="2"/>
              </w:numPr>
              <w:tabs>
                <w:tab w:val="left" w:pos="498"/>
                <w:tab w:val="left" w:pos="539"/>
              </w:tabs>
              <w:ind w:left="539" w:right="1133" w:hanging="539"/>
              <w:rPr>
                <w:rFonts w:ascii="Tahoma" w:cs="Tahoma"/>
              </w:rPr>
            </w:pPr>
            <w:r>
              <w:rPr>
                <w:rFonts w:cs="Tahoma"/>
                <w:sz w:val="24"/>
              </w:rPr>
              <w:t>调查处理：</w:t>
            </w:r>
            <w:r>
              <w:rPr>
                <w:rFonts w:hint="eastAsia" w:cs="Tahoma"/>
                <w:sz w:val="24"/>
              </w:rPr>
              <w:t xml:space="preserve"> </w:t>
            </w:r>
          </w:p>
        </w:tc>
      </w:tr>
    </w:tbl>
    <w:p>
      <w:pPr>
        <w:rPr>
          <w:rFonts w:ascii="新宋体" w:hAnsi="新宋体" w:eastAsia="新宋体"/>
        </w:rPr>
      </w:pPr>
    </w:p>
    <w:tbl>
      <w:tblPr>
        <w:tblStyle w:val="9"/>
        <w:tblW w:w="5115" w:type="pct"/>
        <w:tblInd w:w="-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5" w:hRule="atLeast"/>
        </w:trPr>
        <w:tc>
          <w:tcPr>
            <w:tcW w:w="5000" w:type="pct"/>
          </w:tcPr>
          <w:p>
            <w:pPr>
              <w:spacing w:line="4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程序</w:t>
            </w:r>
            <w:r>
              <w:rPr>
                <w:rFonts w:hint="eastAsia" w:ascii="宋体" w:hAnsi="宋体"/>
                <w:sz w:val="24"/>
                <w:szCs w:val="24"/>
              </w:rPr>
              <w:t>：</w:t>
            </w:r>
          </w:p>
          <w:p>
            <w:pPr>
              <w:numPr>
                <w:ilvl w:val="1"/>
                <w:numId w:val="3"/>
              </w:numPr>
              <w:tabs>
                <w:tab w:val="left" w:pos="498"/>
              </w:tabs>
              <w:ind w:left="498" w:right="1133" w:hanging="498"/>
              <w:rPr>
                <w:rFonts w:cs="Tahoma"/>
                <w:sz w:val="24"/>
              </w:rPr>
            </w:pPr>
            <w:r>
              <w:rPr>
                <w:rFonts w:cs="Tahoma"/>
                <w:sz w:val="24"/>
              </w:rPr>
              <w:t xml:space="preserve">报案处理： </w:t>
            </w:r>
          </w:p>
          <w:p>
            <w:pPr>
              <w:numPr>
                <w:ilvl w:val="0"/>
                <w:numId w:val="4"/>
              </w:numPr>
              <w:ind w:left="781" w:right="1133" w:hanging="567"/>
              <w:rPr>
                <w:rFonts w:cs="Tahoma"/>
                <w:sz w:val="24"/>
              </w:rPr>
            </w:pPr>
            <w:r>
              <w:rPr>
                <w:rFonts w:cs="Tahoma"/>
                <w:sz w:val="24"/>
              </w:rPr>
              <w:t>客人财物丢失报客房部处理，客房部经理通知保安部。</w:t>
            </w:r>
          </w:p>
          <w:p>
            <w:pPr>
              <w:numPr>
                <w:ilvl w:val="0"/>
                <w:numId w:val="4"/>
              </w:numPr>
              <w:ind w:left="781" w:right="1133" w:hanging="567"/>
              <w:rPr>
                <w:rFonts w:cs="Tahoma"/>
                <w:sz w:val="24"/>
              </w:rPr>
            </w:pPr>
            <w:r>
              <w:rPr>
                <w:rFonts w:cs="Tahoma"/>
                <w:sz w:val="24"/>
              </w:rPr>
              <w:t>保安部接到报案后，由保安部经理派人或由值班主管（夜间）携带好访问笔录纸、照相机、手电、手套等所需用具迅速赶到大堂经理处。</w:t>
            </w:r>
          </w:p>
          <w:p>
            <w:pPr>
              <w:numPr>
                <w:ilvl w:val="0"/>
                <w:numId w:val="4"/>
              </w:numPr>
              <w:ind w:left="781" w:right="1133" w:hanging="567"/>
              <w:rPr>
                <w:rFonts w:cs="Tahoma"/>
                <w:sz w:val="24"/>
              </w:rPr>
            </w:pPr>
            <w:r>
              <w:rPr>
                <w:rFonts w:cs="Tahoma"/>
                <w:sz w:val="24"/>
              </w:rPr>
              <w:t>认真听取失主对丢失财物过程各个细节的说明，详细询问丢失物品的特征。</w:t>
            </w:r>
          </w:p>
          <w:p>
            <w:pPr>
              <w:numPr>
                <w:ilvl w:val="0"/>
                <w:numId w:val="4"/>
              </w:numPr>
              <w:ind w:left="781" w:right="1133" w:hanging="567"/>
              <w:rPr>
                <w:rFonts w:cs="Tahoma"/>
                <w:sz w:val="24"/>
              </w:rPr>
            </w:pPr>
            <w:r>
              <w:rPr>
                <w:rFonts w:cs="Tahoma"/>
                <w:sz w:val="24"/>
              </w:rPr>
              <w:t>通知有关部门、岗位的领导并留下与丢失案件有关的人员。</w:t>
            </w:r>
          </w:p>
          <w:p>
            <w:pPr>
              <w:numPr>
                <w:ilvl w:val="0"/>
                <w:numId w:val="4"/>
              </w:numPr>
              <w:ind w:left="781" w:right="1133" w:hanging="567"/>
              <w:rPr>
                <w:rFonts w:cs="Tahoma"/>
                <w:sz w:val="24"/>
              </w:rPr>
            </w:pPr>
            <w:r>
              <w:rPr>
                <w:rFonts w:cs="Tahoma"/>
                <w:sz w:val="24"/>
              </w:rPr>
              <w:t>客人明确要求向公安机关报案或丢失财物数额价值较大时，保安部应在征得运营总监及总经理的同意后报告公安机关，同时保护好现场，即在公安人员到来之前，现场不许任何人进出，不许移动拿走或放入任何物品；发生在公共场所要划出保护区域进行控制。</w:t>
            </w:r>
          </w:p>
          <w:p>
            <w:pPr>
              <w:numPr>
                <w:ilvl w:val="1"/>
                <w:numId w:val="3"/>
              </w:numPr>
              <w:tabs>
                <w:tab w:val="left" w:pos="498"/>
              </w:tabs>
              <w:ind w:left="498" w:right="1133" w:hanging="498"/>
              <w:rPr>
                <w:rFonts w:cs="Tahoma"/>
                <w:sz w:val="24"/>
              </w:rPr>
            </w:pPr>
            <w:r>
              <w:rPr>
                <w:rFonts w:cs="Tahoma"/>
                <w:sz w:val="24"/>
              </w:rPr>
              <w:t xml:space="preserve">赶赴现场处理 </w:t>
            </w:r>
          </w:p>
          <w:p>
            <w:pPr>
              <w:numPr>
                <w:ilvl w:val="0"/>
                <w:numId w:val="5"/>
              </w:numPr>
              <w:tabs>
                <w:tab w:val="left" w:pos="781"/>
              </w:tabs>
              <w:ind w:left="781" w:right="1133" w:hanging="567"/>
              <w:rPr>
                <w:rFonts w:cs="Tahoma"/>
                <w:sz w:val="24"/>
              </w:rPr>
            </w:pPr>
            <w:r>
              <w:rPr>
                <w:rFonts w:cs="Tahoma"/>
                <w:sz w:val="24"/>
              </w:rPr>
              <w:t>失主不要求报公安机关或公安机关未到现场时，保安部随同失主和现场所属部门经理迅速赶赴现场。</w:t>
            </w:r>
          </w:p>
          <w:p>
            <w:pPr>
              <w:numPr>
                <w:ilvl w:val="0"/>
                <w:numId w:val="5"/>
              </w:numPr>
              <w:tabs>
                <w:tab w:val="left" w:pos="781"/>
              </w:tabs>
              <w:ind w:left="781" w:right="1133" w:hanging="567"/>
              <w:rPr>
                <w:rFonts w:cs="Tahoma"/>
                <w:sz w:val="24"/>
              </w:rPr>
            </w:pPr>
            <w:r>
              <w:rPr>
                <w:rFonts w:cs="Tahoma"/>
                <w:sz w:val="24"/>
              </w:rPr>
              <w:t>达到现场后，首先查看现场是否遭到破坏，并划定警戒线，保护好现场。</w:t>
            </w:r>
          </w:p>
          <w:p>
            <w:pPr>
              <w:numPr>
                <w:ilvl w:val="0"/>
                <w:numId w:val="5"/>
              </w:numPr>
              <w:tabs>
                <w:tab w:val="left" w:pos="781"/>
              </w:tabs>
              <w:ind w:left="781" w:right="1133" w:hanging="567"/>
              <w:rPr>
                <w:rFonts w:cs="Tahoma"/>
                <w:sz w:val="24"/>
              </w:rPr>
            </w:pPr>
            <w:r>
              <w:rPr>
                <w:rFonts w:cs="Tahoma"/>
                <w:sz w:val="24"/>
              </w:rPr>
              <w:t>立即进行拍照。</w:t>
            </w:r>
          </w:p>
          <w:p>
            <w:pPr>
              <w:numPr>
                <w:ilvl w:val="0"/>
                <w:numId w:val="5"/>
              </w:numPr>
              <w:tabs>
                <w:tab w:val="left" w:pos="781"/>
              </w:tabs>
              <w:ind w:left="781" w:right="1133" w:hanging="567"/>
              <w:rPr>
                <w:rFonts w:cs="Tahoma"/>
                <w:sz w:val="24"/>
              </w:rPr>
            </w:pPr>
            <w:r>
              <w:rPr>
                <w:rFonts w:cs="Tahoma"/>
                <w:sz w:val="24"/>
              </w:rPr>
              <w:t>认真听取失主对丢失过程的陈述。</w:t>
            </w:r>
          </w:p>
          <w:p>
            <w:pPr>
              <w:numPr>
                <w:ilvl w:val="0"/>
                <w:numId w:val="5"/>
              </w:numPr>
              <w:tabs>
                <w:tab w:val="left" w:pos="781"/>
              </w:tabs>
              <w:ind w:left="781" w:right="1133" w:hanging="567"/>
              <w:rPr>
                <w:rFonts w:cs="Tahoma"/>
                <w:sz w:val="24"/>
              </w:rPr>
            </w:pPr>
            <w:r>
              <w:rPr>
                <w:rFonts w:cs="Tahoma"/>
                <w:sz w:val="24"/>
              </w:rPr>
              <w:t>查看失主物品被翻动的情况，注意发现有无犯罪分子遗留或抛弃的物品，以及可有留下指纹的纸张、杯子、皮夹等；如有，要带好手套或用干净的软纸小心提取，然后放入干静的塑料袋或纸盒内以备技术鉴定。</w:t>
            </w:r>
          </w:p>
          <w:p>
            <w:pPr>
              <w:numPr>
                <w:ilvl w:val="0"/>
                <w:numId w:val="5"/>
              </w:numPr>
              <w:tabs>
                <w:tab w:val="left" w:pos="781"/>
              </w:tabs>
              <w:ind w:left="781" w:right="1133" w:hanging="567"/>
              <w:rPr>
                <w:rFonts w:cs="Tahoma"/>
                <w:sz w:val="24"/>
              </w:rPr>
            </w:pPr>
            <w:r>
              <w:rPr>
                <w:rFonts w:cs="Tahoma"/>
                <w:sz w:val="24"/>
              </w:rPr>
              <w:t>如需提取客人物品做鉴定，必须征得客人同意。</w:t>
            </w:r>
          </w:p>
          <w:p>
            <w:pPr>
              <w:numPr>
                <w:ilvl w:val="1"/>
                <w:numId w:val="3"/>
              </w:numPr>
              <w:tabs>
                <w:tab w:val="left" w:pos="498"/>
              </w:tabs>
              <w:ind w:left="498" w:right="1133" w:hanging="498"/>
              <w:rPr>
                <w:rFonts w:cs="Tahoma"/>
                <w:sz w:val="24"/>
              </w:rPr>
            </w:pPr>
            <w:r>
              <w:rPr>
                <w:rFonts w:cs="Tahoma"/>
                <w:sz w:val="24"/>
              </w:rPr>
              <w:t>做好访问笔录：</w:t>
            </w:r>
          </w:p>
          <w:p>
            <w:pPr>
              <w:numPr>
                <w:ilvl w:val="0"/>
                <w:numId w:val="6"/>
              </w:numPr>
              <w:tabs>
                <w:tab w:val="left" w:pos="781"/>
              </w:tabs>
              <w:ind w:left="781" w:right="1133" w:hanging="626"/>
              <w:rPr>
                <w:rFonts w:cs="Tahoma"/>
                <w:sz w:val="24"/>
              </w:rPr>
            </w:pPr>
            <w:r>
              <w:rPr>
                <w:rFonts w:cs="Tahoma"/>
                <w:sz w:val="24"/>
              </w:rPr>
              <w:t>首先查验失主护照是否与持照人一致，然后核对所失物品在海关申报单上是否有登记，注意登记的数量、种类、型号是否相符。</w:t>
            </w:r>
          </w:p>
          <w:p>
            <w:pPr>
              <w:numPr>
                <w:ilvl w:val="0"/>
                <w:numId w:val="6"/>
              </w:numPr>
              <w:tabs>
                <w:tab w:val="left" w:pos="781"/>
              </w:tabs>
              <w:ind w:left="781" w:right="1133" w:hanging="626"/>
              <w:rPr>
                <w:rFonts w:cs="Tahoma"/>
                <w:sz w:val="24"/>
              </w:rPr>
            </w:pPr>
            <w:r>
              <w:rPr>
                <w:rFonts w:cs="Tahoma"/>
                <w:sz w:val="24"/>
              </w:rPr>
              <w:t xml:space="preserve">详细记录以下情况： </w:t>
            </w:r>
          </w:p>
          <w:p>
            <w:pPr>
              <w:numPr>
                <w:ilvl w:val="0"/>
                <w:numId w:val="7"/>
              </w:numPr>
              <w:tabs>
                <w:tab w:val="left" w:pos="1206"/>
              </w:tabs>
              <w:ind w:left="1206" w:right="1133" w:hanging="786"/>
              <w:rPr>
                <w:rFonts w:cs="Tahoma"/>
                <w:sz w:val="24"/>
              </w:rPr>
            </w:pPr>
            <w:r>
              <w:rPr>
                <w:rFonts w:cs="Tahoma"/>
                <w:sz w:val="24"/>
              </w:rPr>
              <w:t>失主的姓名、年龄、性别、国籍、职务、入店、离店日期和具体时间等。</w:t>
            </w:r>
          </w:p>
          <w:p>
            <w:pPr>
              <w:numPr>
                <w:ilvl w:val="0"/>
                <w:numId w:val="7"/>
              </w:numPr>
              <w:tabs>
                <w:tab w:val="left" w:pos="1206"/>
              </w:tabs>
              <w:ind w:left="1206" w:right="1133" w:hanging="786"/>
              <w:rPr>
                <w:rFonts w:cs="Tahoma"/>
                <w:sz w:val="24"/>
              </w:rPr>
            </w:pPr>
            <w:r>
              <w:rPr>
                <w:rFonts w:cs="Tahoma"/>
                <w:sz w:val="24"/>
              </w:rPr>
              <w:t>丢失物品的准确时间，最后见到所失物品的时间。</w:t>
            </w:r>
          </w:p>
          <w:p>
            <w:pPr>
              <w:numPr>
                <w:ilvl w:val="0"/>
                <w:numId w:val="7"/>
              </w:numPr>
              <w:tabs>
                <w:tab w:val="left" w:pos="1206"/>
              </w:tabs>
              <w:ind w:left="1206" w:right="1133" w:hanging="786"/>
              <w:rPr>
                <w:rFonts w:cs="Tahoma"/>
                <w:sz w:val="24"/>
              </w:rPr>
            </w:pPr>
            <w:r>
              <w:rPr>
                <w:rFonts w:cs="Tahoma"/>
                <w:sz w:val="24"/>
              </w:rPr>
              <w:t>丢失物品的准确地点、位置。</w:t>
            </w:r>
          </w:p>
          <w:p>
            <w:pPr>
              <w:numPr>
                <w:ilvl w:val="0"/>
                <w:numId w:val="7"/>
              </w:numPr>
              <w:tabs>
                <w:tab w:val="left" w:pos="1206"/>
              </w:tabs>
              <w:ind w:left="1206" w:right="1133" w:hanging="786"/>
              <w:rPr>
                <w:rFonts w:cs="Tahoma"/>
                <w:sz w:val="24"/>
              </w:rPr>
            </w:pPr>
            <w:r>
              <w:rPr>
                <w:rFonts w:cs="Tahoma"/>
                <w:sz w:val="24"/>
              </w:rPr>
              <w:t>丢失物品的名称、种类、型号、数量、特征、新旧程度、特殊标记、有无保险等。</w:t>
            </w:r>
          </w:p>
          <w:p>
            <w:pPr>
              <w:numPr>
                <w:ilvl w:val="0"/>
                <w:numId w:val="7"/>
              </w:numPr>
              <w:tabs>
                <w:tab w:val="left" w:pos="1206"/>
              </w:tabs>
              <w:ind w:left="1206" w:right="1133" w:hanging="786"/>
              <w:rPr>
                <w:rFonts w:cs="Tahoma"/>
                <w:sz w:val="24"/>
              </w:rPr>
            </w:pPr>
            <w:r>
              <w:rPr>
                <w:rFonts w:cs="Tahoma"/>
                <w:sz w:val="24"/>
              </w:rPr>
              <w:t>丢失前是否有人来过房间，诸如亲朋探望、打扫房间、工程维修、洗、送衣服等情况，失主有无怀疑的具体对象、怀疑的根据等。</w:t>
            </w:r>
          </w:p>
          <w:p>
            <w:pPr>
              <w:numPr>
                <w:ilvl w:val="0"/>
                <w:numId w:val="7"/>
              </w:numPr>
              <w:tabs>
                <w:tab w:val="left" w:pos="1206"/>
              </w:tabs>
              <w:ind w:left="1206" w:right="1133" w:hanging="786"/>
              <w:rPr>
                <w:rFonts w:cs="Tahoma"/>
                <w:sz w:val="24"/>
              </w:rPr>
            </w:pPr>
            <w:r>
              <w:rPr>
                <w:rFonts w:cs="Tahoma"/>
                <w:sz w:val="24"/>
              </w:rPr>
              <w:t>失主有何要求，例如开具丢失证明或要求酒店赔偿。</w:t>
            </w:r>
          </w:p>
          <w:p>
            <w:pPr>
              <w:numPr>
                <w:ilvl w:val="1"/>
                <w:numId w:val="3"/>
              </w:numPr>
              <w:tabs>
                <w:tab w:val="left" w:pos="498"/>
              </w:tabs>
              <w:ind w:left="498" w:right="1133" w:hanging="498"/>
              <w:rPr>
                <w:rFonts w:cs="Tahoma"/>
                <w:sz w:val="24"/>
              </w:rPr>
            </w:pPr>
            <w:r>
              <w:rPr>
                <w:rFonts w:cs="Tahoma"/>
                <w:sz w:val="24"/>
              </w:rPr>
              <w:t xml:space="preserve">仔细检查现场: </w:t>
            </w:r>
          </w:p>
          <w:p>
            <w:pPr>
              <w:numPr>
                <w:ilvl w:val="0"/>
                <w:numId w:val="8"/>
              </w:numPr>
              <w:tabs>
                <w:tab w:val="left" w:pos="781"/>
              </w:tabs>
              <w:ind w:left="781" w:right="1133" w:hanging="567"/>
              <w:rPr>
                <w:rFonts w:cs="Tahoma"/>
                <w:sz w:val="24"/>
              </w:rPr>
            </w:pPr>
            <w:r>
              <w:rPr>
                <w:rFonts w:cs="Tahoma"/>
                <w:sz w:val="24"/>
              </w:rPr>
              <w:t>对床上床下、衣柜里外、床头柜、酒柜、电视柜里外、沙发、窗帘、浴室、浴室顶棚、冰箱等处都要查到。</w:t>
            </w:r>
          </w:p>
          <w:p>
            <w:pPr>
              <w:numPr>
                <w:ilvl w:val="0"/>
                <w:numId w:val="8"/>
              </w:numPr>
              <w:tabs>
                <w:tab w:val="left" w:pos="781"/>
              </w:tabs>
              <w:ind w:left="781" w:right="1133" w:hanging="567"/>
              <w:rPr>
                <w:rFonts w:cs="Tahoma"/>
                <w:sz w:val="24"/>
              </w:rPr>
            </w:pPr>
            <w:r>
              <w:rPr>
                <w:rFonts w:cs="Tahoma"/>
                <w:sz w:val="24"/>
              </w:rPr>
              <w:t xml:space="preserve">委婉地征得客人同意后对其箱、包、行李进行查找，楼道里的服务车和有关部位也要检查。 </w:t>
            </w:r>
          </w:p>
          <w:p>
            <w:pPr>
              <w:numPr>
                <w:ilvl w:val="1"/>
                <w:numId w:val="3"/>
              </w:numPr>
              <w:tabs>
                <w:tab w:val="left" w:pos="498"/>
              </w:tabs>
              <w:ind w:left="498" w:right="1133" w:hanging="498"/>
              <w:rPr>
                <w:rFonts w:cs="Tahoma"/>
                <w:sz w:val="24"/>
              </w:rPr>
            </w:pPr>
            <w:r>
              <w:rPr>
                <w:rFonts w:cs="Tahoma"/>
                <w:sz w:val="24"/>
              </w:rPr>
              <w:t>调查处理</w:t>
            </w:r>
            <w:r>
              <w:rPr>
                <w:rFonts w:hint="eastAsia" w:cs="Tahoma"/>
                <w:sz w:val="24"/>
              </w:rPr>
              <w:t xml:space="preserve"> </w:t>
            </w:r>
          </w:p>
          <w:p>
            <w:pPr>
              <w:numPr>
                <w:ilvl w:val="0"/>
                <w:numId w:val="9"/>
              </w:numPr>
              <w:tabs>
                <w:tab w:val="left" w:pos="781"/>
              </w:tabs>
              <w:ind w:left="781" w:right="1133" w:hanging="567"/>
              <w:rPr>
                <w:rFonts w:cs="Tahoma"/>
                <w:sz w:val="24"/>
              </w:rPr>
            </w:pPr>
            <w:r>
              <w:rPr>
                <w:rFonts w:cs="Tahoma"/>
                <w:sz w:val="24"/>
              </w:rPr>
              <w:t>对案件涉及人员进行谈话，调</w:t>
            </w:r>
            <w:r>
              <w:rPr>
                <w:rFonts w:hint="eastAsia" w:cs="Tahoma"/>
                <w:sz w:val="24"/>
              </w:rPr>
              <w:t>查</w:t>
            </w:r>
            <w:r>
              <w:rPr>
                <w:rFonts w:cs="Tahoma"/>
                <w:sz w:val="24"/>
              </w:rPr>
              <w:t>了解案发时的情况：</w:t>
            </w:r>
          </w:p>
          <w:p>
            <w:pPr>
              <w:numPr>
                <w:ilvl w:val="0"/>
                <w:numId w:val="10"/>
              </w:numPr>
              <w:tabs>
                <w:tab w:val="left" w:pos="1206"/>
              </w:tabs>
              <w:ind w:left="1206" w:right="1133" w:hanging="708"/>
              <w:rPr>
                <w:rFonts w:cs="Tahoma"/>
                <w:sz w:val="24"/>
              </w:rPr>
            </w:pPr>
            <w:r>
              <w:rPr>
                <w:rFonts w:cs="Tahoma"/>
                <w:sz w:val="24"/>
              </w:rPr>
              <w:t>接触现场的所有人员，谁先进入，谁先离开等情况。</w:t>
            </w:r>
          </w:p>
          <w:p>
            <w:pPr>
              <w:numPr>
                <w:ilvl w:val="0"/>
                <w:numId w:val="10"/>
              </w:numPr>
              <w:tabs>
                <w:tab w:val="left" w:pos="1206"/>
              </w:tabs>
              <w:ind w:left="1206" w:right="1133" w:hanging="708"/>
              <w:rPr>
                <w:rFonts w:cs="Tahoma"/>
                <w:sz w:val="24"/>
              </w:rPr>
            </w:pPr>
            <w:r>
              <w:rPr>
                <w:rFonts w:cs="Tahoma"/>
                <w:sz w:val="24"/>
              </w:rPr>
              <w:t>接触现场的时间、工作程序、所处的位置、现场状态的回忆等情况。</w:t>
            </w:r>
          </w:p>
          <w:p>
            <w:pPr>
              <w:numPr>
                <w:ilvl w:val="0"/>
                <w:numId w:val="9"/>
              </w:numPr>
              <w:tabs>
                <w:tab w:val="left" w:pos="781"/>
              </w:tabs>
              <w:ind w:left="781" w:right="1133" w:hanging="567"/>
              <w:rPr>
                <w:rFonts w:cs="Tahoma"/>
                <w:sz w:val="24"/>
              </w:rPr>
            </w:pPr>
            <w:r>
              <w:rPr>
                <w:rFonts w:cs="Tahoma"/>
                <w:sz w:val="24"/>
              </w:rPr>
              <w:t>对物品丢失时的当班服务员，逐一谈话，如已下班，立即将其从家中找回，涉及两人以上的要分别谈话并注意保密以防串供或订立攻守同盟。</w:t>
            </w:r>
          </w:p>
          <w:p>
            <w:pPr>
              <w:numPr>
                <w:ilvl w:val="0"/>
                <w:numId w:val="9"/>
              </w:numPr>
              <w:tabs>
                <w:tab w:val="left" w:pos="781"/>
              </w:tabs>
              <w:ind w:left="781" w:right="1133" w:hanging="567"/>
              <w:rPr>
                <w:rFonts w:cs="Tahoma"/>
                <w:sz w:val="24"/>
              </w:rPr>
            </w:pPr>
            <w:r>
              <w:rPr>
                <w:rFonts w:cs="Tahoma"/>
                <w:sz w:val="24"/>
              </w:rPr>
              <w:t>通过调查排出的重点嫌疑人员，要尽快取证，做到情节清楚，准确无误。</w:t>
            </w:r>
          </w:p>
          <w:p>
            <w:pPr>
              <w:numPr>
                <w:ilvl w:val="0"/>
                <w:numId w:val="9"/>
              </w:numPr>
              <w:tabs>
                <w:tab w:val="left" w:pos="781"/>
              </w:tabs>
              <w:ind w:left="781" w:right="1133" w:hanging="567"/>
              <w:rPr>
                <w:rFonts w:cs="Tahoma"/>
                <w:sz w:val="24"/>
              </w:rPr>
            </w:pPr>
            <w:r>
              <w:rPr>
                <w:rFonts w:cs="Tahoma"/>
                <w:sz w:val="24"/>
              </w:rPr>
              <w:t>调查处理时，要摆事实、讲道理、重证据、严格注意法侓、政策。</w:t>
            </w:r>
          </w:p>
          <w:p>
            <w:pPr>
              <w:numPr>
                <w:ilvl w:val="0"/>
                <w:numId w:val="9"/>
              </w:numPr>
              <w:tabs>
                <w:tab w:val="left" w:pos="781"/>
              </w:tabs>
              <w:ind w:left="781" w:right="1133" w:hanging="567"/>
              <w:rPr>
                <w:rFonts w:cs="Tahoma"/>
                <w:sz w:val="24"/>
              </w:rPr>
            </w:pPr>
            <w:r>
              <w:rPr>
                <w:rFonts w:cs="Tahoma"/>
                <w:sz w:val="24"/>
              </w:rPr>
              <w:t>拿出处理意见，经领导批准后执行。</w:t>
            </w:r>
          </w:p>
          <w:p>
            <w:pPr>
              <w:suppressAutoHyphens/>
              <w:ind w:left="420" w:right="605"/>
              <w:rPr>
                <w:rFonts w:cs="Tahoma"/>
                <w:b/>
                <w:spacing w:val="-3"/>
                <w:sz w:val="24"/>
                <w:u w:val="single"/>
              </w:rPr>
            </w:pPr>
          </w:p>
          <w:p>
            <w:pPr>
              <w:suppressAutoHyphens/>
              <w:ind w:left="420" w:right="605"/>
              <w:rPr>
                <w:rFonts w:cs="Tahoma"/>
                <w:spacing w:val="-3"/>
                <w:sz w:val="24"/>
              </w:rPr>
            </w:pPr>
            <w:r>
              <w:rPr>
                <w:rFonts w:hint="eastAsia" w:cs="Tahoma"/>
                <w:b/>
                <w:spacing w:val="-3"/>
                <w:sz w:val="24"/>
                <w:u w:val="single"/>
              </w:rPr>
              <w:t>附加</w:t>
            </w:r>
            <w:r>
              <w:rPr>
                <w:rFonts w:cs="Tahoma"/>
                <w:b/>
                <w:spacing w:val="-3"/>
                <w:sz w:val="24"/>
                <w:u w:val="single"/>
              </w:rPr>
              <w:t>APPENDIX</w:t>
            </w:r>
          </w:p>
          <w:p>
            <w:pPr>
              <w:suppressAutoHyphens/>
              <w:ind w:left="420" w:right="605"/>
              <w:rPr>
                <w:rFonts w:cs="Tahoma"/>
                <w:spacing w:val="-3"/>
                <w:sz w:val="24"/>
              </w:rPr>
            </w:pPr>
            <w:r>
              <w:rPr>
                <w:rFonts w:hint="eastAsia" w:cs="Tahoma"/>
                <w:spacing w:val="-3"/>
                <w:sz w:val="24"/>
              </w:rPr>
              <w:t>如事件已触发危机事件的上报要求，应按照《危机事件及重大事项上报制度》将事件情况、后续发展以及最后处理情况汇报至事业群相关部门</w:t>
            </w:r>
          </w:p>
          <w:p>
            <w:pPr>
              <w:suppressAutoHyphens/>
              <w:ind w:left="420" w:right="605"/>
              <w:rPr>
                <w:rFonts w:ascii="Tahoma" w:cs="Tahoma"/>
              </w:rPr>
            </w:pPr>
          </w:p>
        </w:tc>
      </w:tr>
    </w:tbl>
    <w:p>
      <w:pPr>
        <w:rPr>
          <w:rFonts w:ascii="新宋体" w:hAnsi="新宋体" w:eastAsia="新宋体"/>
        </w:rPr>
      </w:pPr>
    </w:p>
    <w:sectPr>
      <w:headerReference r:id="rId3" w:type="default"/>
      <w:pgSz w:w="11906" w:h="16838"/>
      <w:pgMar w:top="2045" w:right="1134" w:bottom="1246" w:left="1134" w:header="623" w:footer="948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G Times">
    <w:altName w:val="Times New Roman"/>
    <w:panose1 w:val="00000000000000000000"/>
    <w:charset w:val="00"/>
    <w:family w:val="roman"/>
    <w:pitch w:val="default"/>
    <w:sig w:usb0="00000000" w:usb1="00000000" w:usb2="00000000" w:usb3="00000000" w:csb0="00000093" w:csb1="00000000"/>
  </w:font>
  <w:font w:name="PMingLiU">
    <w:altName w:val="Microsoft JhengHei"/>
    <w:panose1 w:val="02010601000101010101"/>
    <w:charset w:val="88"/>
    <w:family w:val="auto"/>
    <w:pitch w:val="default"/>
    <w:sig w:usb0="00000000" w:usb1="00000000" w:usb2="00000016" w:usb3="00000000" w:csb0="001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</w:pPr>
    <w:r>
      <w:pict>
        <v:shape id="_x0000_i1025" o:spt="75" alt="图片包含 游戏机, 画&#10;&#10;描述已自动生成" type="#_x0000_t75" style="height:34.5pt;width:224pt;" filled="f" o:preferrelative="t" stroked="f" coordsize="21600,21600">
          <v:path/>
          <v:fill on="f" focussize="0,0"/>
          <v:stroke on="f" joinstyle="miter"/>
          <v:imagedata r:id="rId1" o:title="图片包含 游戏机, 画&#10;&#10;描述已自动生成"/>
          <o:lock v:ext="edit" aspectratio="t"/>
          <w10:wrap type="none"/>
          <w10:anchorlock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8BE6A3A"/>
    <w:multiLevelType w:val="multilevel"/>
    <w:tmpl w:val="18BE6A3A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decimal"/>
      <w:lvlText w:val="%2."/>
      <w:lvlJc w:val="left"/>
      <w:pPr>
        <w:ind w:left="1140" w:hanging="72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96A2186"/>
    <w:multiLevelType w:val="multilevel"/>
    <w:tmpl w:val="196A2186"/>
    <w:lvl w:ilvl="0" w:tentative="0">
      <w:start w:val="1"/>
      <w:numFmt w:val="decimal"/>
      <w:lvlText w:val="5.1.%1"/>
      <w:lvlJc w:val="left"/>
      <w:pPr>
        <w:ind w:left="84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1A6370D7"/>
    <w:multiLevelType w:val="multilevel"/>
    <w:tmpl w:val="1A6370D7"/>
    <w:lvl w:ilvl="0" w:tentative="0">
      <w:start w:val="1"/>
      <w:numFmt w:val="decimal"/>
      <w:lvlText w:val="5.%1"/>
      <w:lvlJc w:val="left"/>
      <w:pPr>
        <w:ind w:left="84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1B525ED1"/>
    <w:multiLevelType w:val="multilevel"/>
    <w:tmpl w:val="1B525ED1"/>
    <w:lvl w:ilvl="0" w:tentative="0">
      <w:start w:val="1"/>
      <w:numFmt w:val="decimal"/>
      <w:lvlText w:val="3.2.%1"/>
      <w:lvlJc w:val="left"/>
      <w:pPr>
        <w:ind w:left="84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287418FE"/>
    <w:multiLevelType w:val="multilevel"/>
    <w:tmpl w:val="287418FE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japaneseCounting"/>
      <w:lvlText w:val="%2、"/>
      <w:lvlJc w:val="left"/>
      <w:pPr>
        <w:ind w:left="1140" w:hanging="72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28797596"/>
    <w:multiLevelType w:val="multilevel"/>
    <w:tmpl w:val="28797596"/>
    <w:lvl w:ilvl="0" w:tentative="0">
      <w:start w:val="1"/>
      <w:numFmt w:val="decimal"/>
      <w:lvlText w:val="4.%1"/>
      <w:lvlJc w:val="left"/>
      <w:pPr>
        <w:ind w:left="84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5A4255A4"/>
    <w:multiLevelType w:val="multilevel"/>
    <w:tmpl w:val="5A4255A4"/>
    <w:lvl w:ilvl="0" w:tentative="0">
      <w:start w:val="1"/>
      <w:numFmt w:val="decimal"/>
      <w:lvlText w:val="%1."/>
      <w:lvlJc w:val="left"/>
      <w:pPr>
        <w:ind w:left="840" w:hanging="420"/>
      </w:p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7">
    <w:nsid w:val="75080DEC"/>
    <w:multiLevelType w:val="multilevel"/>
    <w:tmpl w:val="75080DEC"/>
    <w:lvl w:ilvl="0" w:tentative="0">
      <w:start w:val="1"/>
      <w:numFmt w:val="decimal"/>
      <w:lvlText w:val="2.%1"/>
      <w:lvlJc w:val="left"/>
      <w:pPr>
        <w:ind w:left="84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76545053"/>
    <w:multiLevelType w:val="multilevel"/>
    <w:tmpl w:val="76545053"/>
    <w:lvl w:ilvl="0" w:tentative="0">
      <w:start w:val="1"/>
      <w:numFmt w:val="decimal"/>
      <w:lvlText w:val="3.%1"/>
      <w:lvlJc w:val="left"/>
      <w:pPr>
        <w:ind w:left="84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7A9B4F01"/>
    <w:multiLevelType w:val="multilevel"/>
    <w:tmpl w:val="7A9B4F01"/>
    <w:lvl w:ilvl="0" w:tentative="0">
      <w:start w:val="1"/>
      <w:numFmt w:val="decimal"/>
      <w:lvlText w:val="1.%1"/>
      <w:lvlJc w:val="left"/>
      <w:pPr>
        <w:ind w:left="84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decimal"/>
      <w:lvlText w:val="%3."/>
      <w:lvlJc w:val="left"/>
      <w:pPr>
        <w:ind w:left="1530" w:hanging="69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6"/>
  </w:num>
  <w:num w:numId="2">
    <w:abstractNumId w:val="4"/>
  </w:num>
  <w:num w:numId="3">
    <w:abstractNumId w:val="0"/>
  </w:num>
  <w:num w:numId="4">
    <w:abstractNumId w:val="9"/>
  </w:num>
  <w:num w:numId="5">
    <w:abstractNumId w:val="7"/>
  </w:num>
  <w:num w:numId="6">
    <w:abstractNumId w:val="8"/>
  </w:num>
  <w:num w:numId="7">
    <w:abstractNumId w:val="3"/>
  </w:num>
  <w:num w:numId="8">
    <w:abstractNumId w:val="5"/>
  </w:num>
  <w:num w:numId="9">
    <w:abstractNumId w:val="2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MzI1ZDBlMGU5ODg0MjFmMWM5ODUwYjE5NDUzNjg2ZWYifQ=="/>
  </w:docVars>
  <w:rsids>
    <w:rsidRoot w:val="009C481D"/>
    <w:rsid w:val="00016A03"/>
    <w:rsid w:val="00017B5B"/>
    <w:rsid w:val="000406FE"/>
    <w:rsid w:val="0004466D"/>
    <w:rsid w:val="00076307"/>
    <w:rsid w:val="000D01DB"/>
    <w:rsid w:val="000D52C8"/>
    <w:rsid w:val="000E4CB1"/>
    <w:rsid w:val="00104FB8"/>
    <w:rsid w:val="00143003"/>
    <w:rsid w:val="00153264"/>
    <w:rsid w:val="00170DD1"/>
    <w:rsid w:val="00174FA7"/>
    <w:rsid w:val="00195976"/>
    <w:rsid w:val="001A3E74"/>
    <w:rsid w:val="001B45FA"/>
    <w:rsid w:val="001C40B7"/>
    <w:rsid w:val="001E131C"/>
    <w:rsid w:val="001F25CD"/>
    <w:rsid w:val="002248EE"/>
    <w:rsid w:val="00283E94"/>
    <w:rsid w:val="00293A53"/>
    <w:rsid w:val="002A1EEB"/>
    <w:rsid w:val="002A254A"/>
    <w:rsid w:val="002D161C"/>
    <w:rsid w:val="002D1D2B"/>
    <w:rsid w:val="002D6B1C"/>
    <w:rsid w:val="002D6DB2"/>
    <w:rsid w:val="002D7A86"/>
    <w:rsid w:val="002E1239"/>
    <w:rsid w:val="00304B2C"/>
    <w:rsid w:val="00314C2A"/>
    <w:rsid w:val="003360DC"/>
    <w:rsid w:val="00345AFD"/>
    <w:rsid w:val="00352E7F"/>
    <w:rsid w:val="00360B73"/>
    <w:rsid w:val="003723F5"/>
    <w:rsid w:val="00373EFF"/>
    <w:rsid w:val="00375140"/>
    <w:rsid w:val="00377253"/>
    <w:rsid w:val="003A436E"/>
    <w:rsid w:val="003B0B94"/>
    <w:rsid w:val="003D3DE5"/>
    <w:rsid w:val="003D694C"/>
    <w:rsid w:val="003D7CD9"/>
    <w:rsid w:val="003E18D4"/>
    <w:rsid w:val="003F1619"/>
    <w:rsid w:val="00402835"/>
    <w:rsid w:val="00445890"/>
    <w:rsid w:val="00461A63"/>
    <w:rsid w:val="00477F5D"/>
    <w:rsid w:val="004803F1"/>
    <w:rsid w:val="00490C9E"/>
    <w:rsid w:val="004A35A6"/>
    <w:rsid w:val="004A465A"/>
    <w:rsid w:val="004A4BC0"/>
    <w:rsid w:val="004B62AB"/>
    <w:rsid w:val="004F1ED7"/>
    <w:rsid w:val="00506943"/>
    <w:rsid w:val="00540412"/>
    <w:rsid w:val="00545151"/>
    <w:rsid w:val="005468F5"/>
    <w:rsid w:val="00553106"/>
    <w:rsid w:val="00554531"/>
    <w:rsid w:val="005557F4"/>
    <w:rsid w:val="005672C7"/>
    <w:rsid w:val="005C6799"/>
    <w:rsid w:val="005D08F3"/>
    <w:rsid w:val="005D1912"/>
    <w:rsid w:val="00611346"/>
    <w:rsid w:val="0063109C"/>
    <w:rsid w:val="00640F59"/>
    <w:rsid w:val="0064185A"/>
    <w:rsid w:val="006421D1"/>
    <w:rsid w:val="00653637"/>
    <w:rsid w:val="0068046A"/>
    <w:rsid w:val="0068631E"/>
    <w:rsid w:val="006A138A"/>
    <w:rsid w:val="006B7609"/>
    <w:rsid w:val="006D4592"/>
    <w:rsid w:val="006D6D5C"/>
    <w:rsid w:val="006E2708"/>
    <w:rsid w:val="00703FA7"/>
    <w:rsid w:val="0070476C"/>
    <w:rsid w:val="007107DC"/>
    <w:rsid w:val="00712096"/>
    <w:rsid w:val="00741C94"/>
    <w:rsid w:val="007639D5"/>
    <w:rsid w:val="0077297A"/>
    <w:rsid w:val="00774F4C"/>
    <w:rsid w:val="00790FD2"/>
    <w:rsid w:val="007A29CB"/>
    <w:rsid w:val="007A3D00"/>
    <w:rsid w:val="007B4B0A"/>
    <w:rsid w:val="007C1178"/>
    <w:rsid w:val="007F36E9"/>
    <w:rsid w:val="00812204"/>
    <w:rsid w:val="008236EE"/>
    <w:rsid w:val="00837FE1"/>
    <w:rsid w:val="00844636"/>
    <w:rsid w:val="00896AD0"/>
    <w:rsid w:val="008B37CB"/>
    <w:rsid w:val="008B4240"/>
    <w:rsid w:val="008C05B5"/>
    <w:rsid w:val="008C42AC"/>
    <w:rsid w:val="008C5FC5"/>
    <w:rsid w:val="00925353"/>
    <w:rsid w:val="00942E09"/>
    <w:rsid w:val="0094403F"/>
    <w:rsid w:val="00946BF7"/>
    <w:rsid w:val="00955C0C"/>
    <w:rsid w:val="00972499"/>
    <w:rsid w:val="009826F0"/>
    <w:rsid w:val="00992ED8"/>
    <w:rsid w:val="009A30DC"/>
    <w:rsid w:val="009C3032"/>
    <w:rsid w:val="009C481D"/>
    <w:rsid w:val="009F1F08"/>
    <w:rsid w:val="009F59F3"/>
    <w:rsid w:val="00A07772"/>
    <w:rsid w:val="00A25A5B"/>
    <w:rsid w:val="00A26B93"/>
    <w:rsid w:val="00A44E10"/>
    <w:rsid w:val="00A53FB0"/>
    <w:rsid w:val="00A61E75"/>
    <w:rsid w:val="00AC5C73"/>
    <w:rsid w:val="00AC7B10"/>
    <w:rsid w:val="00AD72D5"/>
    <w:rsid w:val="00AE5B0A"/>
    <w:rsid w:val="00AE62AF"/>
    <w:rsid w:val="00B202C9"/>
    <w:rsid w:val="00B23C78"/>
    <w:rsid w:val="00B25212"/>
    <w:rsid w:val="00B602B4"/>
    <w:rsid w:val="00B679EA"/>
    <w:rsid w:val="00B70755"/>
    <w:rsid w:val="00BD477C"/>
    <w:rsid w:val="00BE5787"/>
    <w:rsid w:val="00BE7A03"/>
    <w:rsid w:val="00C01B12"/>
    <w:rsid w:val="00C277D5"/>
    <w:rsid w:val="00C31D58"/>
    <w:rsid w:val="00C619A4"/>
    <w:rsid w:val="00C63A0A"/>
    <w:rsid w:val="00C662C4"/>
    <w:rsid w:val="00C729E3"/>
    <w:rsid w:val="00C971B5"/>
    <w:rsid w:val="00CA1697"/>
    <w:rsid w:val="00CD1713"/>
    <w:rsid w:val="00CE5D0C"/>
    <w:rsid w:val="00D0197D"/>
    <w:rsid w:val="00D03F68"/>
    <w:rsid w:val="00D35540"/>
    <w:rsid w:val="00D45F56"/>
    <w:rsid w:val="00D521B8"/>
    <w:rsid w:val="00D614C4"/>
    <w:rsid w:val="00D625B8"/>
    <w:rsid w:val="00DA34E1"/>
    <w:rsid w:val="00DA5B66"/>
    <w:rsid w:val="00DB1D38"/>
    <w:rsid w:val="00DC508E"/>
    <w:rsid w:val="00E03482"/>
    <w:rsid w:val="00E14CBE"/>
    <w:rsid w:val="00E15CF2"/>
    <w:rsid w:val="00E326B8"/>
    <w:rsid w:val="00E43BFA"/>
    <w:rsid w:val="00E44409"/>
    <w:rsid w:val="00E70245"/>
    <w:rsid w:val="00E7088E"/>
    <w:rsid w:val="00E711AA"/>
    <w:rsid w:val="00E867D1"/>
    <w:rsid w:val="00E902FC"/>
    <w:rsid w:val="00E96C8A"/>
    <w:rsid w:val="00EB2886"/>
    <w:rsid w:val="00EE0D3B"/>
    <w:rsid w:val="00EE4626"/>
    <w:rsid w:val="00EF029B"/>
    <w:rsid w:val="00EF6672"/>
    <w:rsid w:val="00F0003A"/>
    <w:rsid w:val="00F020F9"/>
    <w:rsid w:val="00F164F3"/>
    <w:rsid w:val="00F23A05"/>
    <w:rsid w:val="00F2745D"/>
    <w:rsid w:val="00F47846"/>
    <w:rsid w:val="00F5064C"/>
    <w:rsid w:val="00F77FBB"/>
    <w:rsid w:val="00FB1F4F"/>
    <w:rsid w:val="00FF49C6"/>
    <w:rsid w:val="00FF4AE8"/>
    <w:rsid w:val="2EFF1094"/>
    <w:rsid w:val="6F040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qFormat="1"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outlineLvl w:val="0"/>
    </w:pPr>
    <w:rPr>
      <w:b/>
      <w:i/>
      <w:sz w:val="28"/>
    </w:rPr>
  </w:style>
  <w:style w:type="paragraph" w:styleId="3">
    <w:name w:val="heading 3"/>
    <w:basedOn w:val="1"/>
    <w:next w:val="1"/>
    <w:qFormat/>
    <w:uiPriority w:val="0"/>
    <w:pPr>
      <w:keepNext/>
      <w:outlineLvl w:val="2"/>
    </w:pPr>
    <w:rPr>
      <w:b/>
      <w:sz w:val="16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link w:val="16"/>
    <w:unhideWhenUsed/>
    <w:qFormat/>
    <w:uiPriority w:val="0"/>
    <w:pPr>
      <w:widowControl w:val="0"/>
      <w:spacing w:after="120"/>
      <w:jc w:val="both"/>
    </w:pPr>
    <w:rPr>
      <w:rFonts w:ascii="Arial" w:hAnsi="Arial"/>
      <w:kern w:val="2"/>
      <w:sz w:val="24"/>
      <w:szCs w:val="24"/>
    </w:rPr>
  </w:style>
  <w:style w:type="paragraph" w:styleId="5">
    <w:name w:val="Block Text"/>
    <w:basedOn w:val="1"/>
    <w:qFormat/>
    <w:uiPriority w:val="0"/>
    <w:pPr>
      <w:tabs>
        <w:tab w:val="left" w:pos="-1440"/>
        <w:tab w:val="left" w:pos="-720"/>
        <w:tab w:val="left" w:pos="1200"/>
        <w:tab w:val="left" w:pos="1440"/>
      </w:tabs>
      <w:suppressAutoHyphens/>
      <w:spacing w:line="228" w:lineRule="auto"/>
      <w:ind w:left="1200" w:right="605" w:hanging="800"/>
      <w:jc w:val="both"/>
    </w:pPr>
    <w:rPr>
      <w:rFonts w:ascii="CG Times" w:hAnsi="CG Times" w:eastAsia="PMingLiU"/>
      <w:spacing w:val="-3"/>
      <w:sz w:val="24"/>
      <w:lang w:eastAsia="en-US"/>
    </w:rPr>
  </w:style>
  <w:style w:type="paragraph" w:styleId="6">
    <w:name w:val="Body Text Indent 2"/>
    <w:basedOn w:val="1"/>
    <w:link w:val="17"/>
    <w:qFormat/>
    <w:uiPriority w:val="0"/>
    <w:pPr>
      <w:widowControl w:val="0"/>
      <w:spacing w:after="120" w:line="480" w:lineRule="auto"/>
      <w:ind w:left="420" w:leftChars="200"/>
      <w:jc w:val="both"/>
    </w:pPr>
    <w:rPr>
      <w:kern w:val="2"/>
      <w:sz w:val="21"/>
      <w:szCs w:val="24"/>
    </w:rPr>
  </w:style>
  <w:style w:type="paragraph" w:styleId="7">
    <w:name w:val="foot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8">
    <w:name w:val="header"/>
    <w:basedOn w:val="1"/>
    <w:link w:val="14"/>
    <w:uiPriority w:val="99"/>
    <w:pPr>
      <w:tabs>
        <w:tab w:val="center" w:pos="4320"/>
        <w:tab w:val="right" w:pos="8640"/>
      </w:tabs>
    </w:pPr>
    <w:rPr>
      <w:sz w:val="24"/>
    </w:rPr>
  </w:style>
  <w:style w:type="table" w:styleId="10">
    <w:name w:val="Table Grid"/>
    <w:basedOn w:val="9"/>
    <w:qFormat/>
    <w:uiPriority w:val="59"/>
    <w:rPr>
      <w:rFonts w:ascii="Calibri" w:hAnsi="Calibri"/>
      <w:sz w:val="22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2">
    <w:name w:val="page number"/>
    <w:basedOn w:val="11"/>
    <w:qFormat/>
    <w:uiPriority w:val="0"/>
  </w:style>
  <w:style w:type="paragraph" w:customStyle="1" w:styleId="13">
    <w:name w:val="列出段落"/>
    <w:basedOn w:val="1"/>
    <w:qFormat/>
    <w:uiPriority w:val="34"/>
    <w:pPr>
      <w:widowControl w:val="0"/>
      <w:ind w:left="720"/>
      <w:contextualSpacing/>
      <w:jc w:val="both"/>
    </w:pPr>
    <w:rPr>
      <w:rFonts w:ascii="Arial" w:hAnsi="Arial"/>
      <w:kern w:val="2"/>
      <w:sz w:val="24"/>
      <w:szCs w:val="24"/>
    </w:rPr>
  </w:style>
  <w:style w:type="character" w:customStyle="1" w:styleId="14">
    <w:name w:val="页眉 字符"/>
    <w:link w:val="8"/>
    <w:qFormat/>
    <w:uiPriority w:val="99"/>
    <w:rPr>
      <w:sz w:val="24"/>
    </w:rPr>
  </w:style>
  <w:style w:type="paragraph" w:customStyle="1" w:styleId="15">
    <w:name w:val="Default Text"/>
    <w:basedOn w:val="1"/>
    <w:qFormat/>
    <w:uiPriority w:val="0"/>
    <w:rPr>
      <w:sz w:val="24"/>
      <w:lang w:eastAsia="en-US"/>
    </w:rPr>
  </w:style>
  <w:style w:type="character" w:customStyle="1" w:styleId="16">
    <w:name w:val="正文文本 字符"/>
    <w:link w:val="4"/>
    <w:qFormat/>
    <w:uiPriority w:val="0"/>
    <w:rPr>
      <w:rFonts w:ascii="Arial" w:hAnsi="Arial"/>
      <w:kern w:val="2"/>
      <w:sz w:val="24"/>
      <w:szCs w:val="24"/>
    </w:rPr>
  </w:style>
  <w:style w:type="character" w:customStyle="1" w:styleId="17">
    <w:name w:val="正文文本缩进 2 字符"/>
    <w:link w:val="6"/>
    <w:qFormat/>
    <w:uiPriority w:val="0"/>
    <w:rPr>
      <w:kern w:val="2"/>
      <w:sz w:val="21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50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567B163-73E2-4F5C-8642-A005DFE50A5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DELLNBX</Company>
  <Pages>1</Pages>
  <Words>230</Words>
  <Characters>1314</Characters>
  <Lines>10</Lines>
  <Paragraphs>3</Paragraphs>
  <TotalTime>0</TotalTime>
  <ScaleCrop>false</ScaleCrop>
  <LinksUpToDate>false</LinksUpToDate>
  <CharactersWithSpaces>1541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2021-02-25T10:01:00Z</dcterms:created>
  <dc:creator>lucy</dc:creator>
  <cp:lastModifiedBy>冯亮</cp:lastModifiedBy>
  <dcterms:modified xsi:type="dcterms:W3CDTF">2023-11-24T03:01:47Z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A976B7ED93A048DC9ADCDDACCFCCD34D</vt:lpwstr>
  </property>
</Properties>
</file>