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603"/>
        <w:gridCol w:w="30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6"/>
              <w:tabs>
                <w:tab w:val="clear" w:pos="4320"/>
                <w:tab w:val="clear" w:pos="8640"/>
              </w:tabs>
              <w:rPr>
                <w:b/>
                <w:sz w:val="18"/>
                <w:lang w:val="en-US"/>
              </w:rPr>
            </w:pPr>
            <w:r>
              <w:rPr>
                <w:rFonts w:hint="eastAsia" w:ascii="黑体" w:hAnsi="黑体" w:eastAsia="黑体"/>
                <w:szCs w:val="24"/>
                <w:lang w:val="en-US"/>
              </w:rPr>
              <w:t>档号</w:t>
            </w:r>
            <w:r>
              <w:rPr>
                <w:b/>
                <w:sz w:val="18"/>
                <w:lang w:val="en-US"/>
              </w:rPr>
              <w:t>Policy No.</w:t>
            </w:r>
            <w:r>
              <w:rPr>
                <w:rFonts w:hint="eastAsia" w:ascii="宋体" w:hAnsi="宋体"/>
                <w:sz w:val="28"/>
                <w:lang w:val="en-US"/>
              </w:rPr>
              <w:t>：</w:t>
            </w:r>
            <w:r>
              <w:rPr>
                <w:rFonts w:hint="eastAsia"/>
                <w:szCs w:val="24"/>
                <w:lang w:val="en-US"/>
              </w:rPr>
              <w:t>SEC/SOP/</w:t>
            </w:r>
            <w:r>
              <w:rPr>
                <w:szCs w:val="24"/>
                <w:lang w:val="en-US"/>
              </w:rPr>
              <w:t>053</w:t>
            </w:r>
          </w:p>
        </w:tc>
        <w:tc>
          <w:tcPr>
            <w:tcW w:w="3603" w:type="dxa"/>
          </w:tcPr>
          <w:p>
            <w:pPr>
              <w:pStyle w:val="6"/>
              <w:tabs>
                <w:tab w:val="clear" w:pos="4320"/>
                <w:tab w:val="clear" w:pos="8640"/>
              </w:tabs>
              <w:rPr>
                <w:b/>
                <w:sz w:val="18"/>
                <w:lang w:val="en-US"/>
              </w:rPr>
            </w:pPr>
            <w:r>
              <w:rPr>
                <w:rFonts w:hint="eastAsia" w:ascii="黑体" w:hAnsi="黑体" w:eastAsia="黑体"/>
                <w:szCs w:val="24"/>
                <w:lang w:val="en-US"/>
              </w:rPr>
              <w:t>部门</w:t>
            </w:r>
            <w:r>
              <w:rPr>
                <w:b/>
                <w:sz w:val="18"/>
                <w:lang w:val="en-US"/>
              </w:rPr>
              <w:t>Department</w:t>
            </w:r>
            <w:r>
              <w:rPr>
                <w:rFonts w:hint="eastAsia" w:ascii="宋体" w:hAnsi="宋体"/>
                <w:sz w:val="28"/>
                <w:lang w:val="en-US"/>
              </w:rPr>
              <w:t>：</w:t>
            </w:r>
            <w:r>
              <w:rPr>
                <w:rFonts w:hint="eastAsia" w:ascii="宋体" w:hAnsi="宋体" w:cs="Tahoma"/>
                <w:szCs w:val="24"/>
                <w:lang w:val="en-US"/>
              </w:rPr>
              <w:t>保安部Security</w:t>
            </w:r>
          </w:p>
        </w:tc>
        <w:tc>
          <w:tcPr>
            <w:tcW w:w="3052" w:type="dxa"/>
            <w:vAlign w:val="center"/>
          </w:tcPr>
          <w:p>
            <w:pPr>
              <w:pStyle w:val="6"/>
              <w:tabs>
                <w:tab w:val="clear" w:pos="4320"/>
                <w:tab w:val="clear" w:pos="8640"/>
              </w:tabs>
              <w:jc w:val="both"/>
              <w:rPr>
                <w:b/>
                <w:sz w:val="18"/>
                <w:lang w:val="en-US"/>
              </w:rPr>
            </w:pPr>
            <w:r>
              <w:rPr>
                <w:rFonts w:hint="eastAsia" w:ascii="黑体" w:hAnsi="黑体" w:eastAsia="黑体"/>
                <w:szCs w:val="24"/>
                <w:lang w:val="en-US"/>
              </w:rPr>
              <w:t>分部门</w:t>
            </w:r>
            <w:r>
              <w:rPr>
                <w:rFonts w:hint="eastAsia"/>
                <w:b/>
                <w:sz w:val="18"/>
                <w:lang w:val="en-US"/>
              </w:rPr>
              <w:t>Section</w:t>
            </w:r>
            <w:r>
              <w:rPr>
                <w:rFonts w:hint="eastAsia" w:ascii="宋体" w:hAnsi="宋体"/>
                <w:sz w:val="28"/>
                <w:lang w:val="en-US"/>
              </w:rPr>
              <w:t>：</w:t>
            </w:r>
            <w:r>
              <w:rPr>
                <w:rFonts w:hint="eastAsia" w:ascii="宋体" w:hAnsi="宋体"/>
                <w:szCs w:val="24"/>
                <w:lang w:val="en-US"/>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6"/>
              <w:tabs>
                <w:tab w:val="clear" w:pos="4320"/>
                <w:tab w:val="clear" w:pos="8640"/>
              </w:tabs>
              <w:spacing w:line="400" w:lineRule="exact"/>
              <w:rPr>
                <w:b/>
                <w:sz w:val="18"/>
                <w:lang w:val="en-US"/>
              </w:rPr>
            </w:pPr>
            <w:r>
              <w:rPr>
                <w:rFonts w:hint="eastAsia" w:ascii="黑体" w:hAnsi="黑体" w:eastAsia="黑体"/>
                <w:szCs w:val="24"/>
                <w:lang w:val="en-US"/>
              </w:rPr>
              <w:t>编订</w:t>
            </w:r>
            <w:r>
              <w:rPr>
                <w:b/>
                <w:sz w:val="18"/>
                <w:lang w:val="en-US"/>
              </w:rPr>
              <w:t>Prepared by:</w:t>
            </w:r>
          </w:p>
          <w:p>
            <w:pPr>
              <w:pStyle w:val="6"/>
              <w:tabs>
                <w:tab w:val="clear" w:pos="4320"/>
                <w:tab w:val="clear" w:pos="8640"/>
              </w:tabs>
              <w:rPr>
                <w:b/>
                <w:sz w:val="16"/>
                <w:lang w:val="en-US"/>
              </w:rPr>
            </w:pPr>
          </w:p>
          <w:p>
            <w:pPr>
              <w:pStyle w:val="6"/>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6"/>
              <w:tabs>
                <w:tab w:val="clear" w:pos="4320"/>
                <w:tab w:val="clear" w:pos="8640"/>
              </w:tabs>
              <w:rPr>
                <w:b/>
                <w:sz w:val="16"/>
                <w:lang w:val="en-US"/>
              </w:rPr>
            </w:pPr>
            <w:r>
              <w:rPr>
                <w:b/>
                <w:sz w:val="20"/>
                <w:lang w:val="en-US"/>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Line 2"/>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Line 2"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h0GxSdAAAAAFAQAADwAAAAAAAAABACAAAAAiAAAAZHJzL2Rvd25yZXYueG1sUEsBAhQA&#10;FAAAAAgAh07iQFLTk5zBAQAAmQMAAA4AAAAAAAAAAQAgAAAAHwEAAGRycy9lMm9Eb2MueG1sUEsF&#10;BgAAAAAGAAYAWQEAAFIFAAAAAA==&#10;">
                      <v:fill on="f" focussize="0,0"/>
                      <v:stroke color="#000000" joinstyle="round"/>
                      <v:imagedata o:title=""/>
                      <o:lock v:ext="edit" aspectratio="f"/>
                    </v:line>
                  </w:pict>
                </mc:Fallback>
              </mc:AlternateContent>
            </w:r>
            <w:r>
              <w:rPr>
                <w:b/>
                <w:sz w:val="16"/>
                <w:lang w:val="en-US"/>
              </w:rPr>
              <w:t xml:space="preserve">Signature: </w:t>
            </w:r>
          </w:p>
        </w:tc>
        <w:tc>
          <w:tcPr>
            <w:tcW w:w="3603" w:type="dxa"/>
          </w:tcPr>
          <w:p>
            <w:pPr>
              <w:pStyle w:val="6"/>
              <w:tabs>
                <w:tab w:val="clear" w:pos="4320"/>
                <w:tab w:val="clear" w:pos="8640"/>
              </w:tabs>
              <w:spacing w:line="400" w:lineRule="exact"/>
              <w:rPr>
                <w:b/>
                <w:sz w:val="18"/>
                <w:lang w:val="en-US"/>
              </w:rPr>
            </w:pPr>
            <w:r>
              <w:rPr>
                <w:rFonts w:hint="eastAsia" w:ascii="黑体" w:hAnsi="黑体" w:eastAsia="黑体"/>
                <w:szCs w:val="24"/>
                <w:lang w:val="en-US"/>
              </w:rPr>
              <w:t>发布</w:t>
            </w:r>
            <w:r>
              <w:rPr>
                <w:b/>
                <w:sz w:val="18"/>
                <w:lang w:val="en-US"/>
              </w:rPr>
              <w:t>Issued by:</w:t>
            </w:r>
          </w:p>
          <w:p>
            <w:pPr>
              <w:pStyle w:val="6"/>
              <w:tabs>
                <w:tab w:val="clear" w:pos="4320"/>
                <w:tab w:val="clear" w:pos="8640"/>
              </w:tabs>
              <w:rPr>
                <w:b/>
                <w:sz w:val="16"/>
                <w:lang w:val="en-US"/>
              </w:rPr>
            </w:pPr>
          </w:p>
          <w:p>
            <w:pPr>
              <w:pStyle w:val="6"/>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6"/>
              <w:tabs>
                <w:tab w:val="clear" w:pos="4320"/>
                <w:tab w:val="clear" w:pos="8640"/>
              </w:tabs>
              <w:rPr>
                <w:b/>
                <w:sz w:val="16"/>
                <w:lang w:val="en-US"/>
              </w:rPr>
            </w:pPr>
            <w:r>
              <w:rPr>
                <w:b/>
                <w:sz w:val="16"/>
                <w:lang w:val="en-US"/>
              </w:rPr>
              <w:t>Signature:</w:t>
            </w:r>
          </w:p>
        </w:tc>
        <w:tc>
          <w:tcPr>
            <w:tcW w:w="3052" w:type="dxa"/>
          </w:tcPr>
          <w:p>
            <w:pPr>
              <w:pStyle w:val="6"/>
              <w:tabs>
                <w:tab w:val="clear" w:pos="4320"/>
                <w:tab w:val="clear" w:pos="8640"/>
              </w:tabs>
              <w:spacing w:line="400" w:lineRule="exact"/>
              <w:rPr>
                <w:b/>
                <w:sz w:val="16"/>
                <w:lang w:val="en-US"/>
              </w:rPr>
            </w:pPr>
            <w:r>
              <w:rPr>
                <w:rFonts w:hint="eastAsia" w:ascii="黑体" w:hAnsi="黑体" w:eastAsia="黑体"/>
                <w:szCs w:val="24"/>
                <w:lang w:val="en-US"/>
              </w:rPr>
              <w:t>总经理审批</w:t>
            </w:r>
            <w:r>
              <w:rPr>
                <w:b/>
                <w:sz w:val="18"/>
                <w:lang w:val="en-US"/>
              </w:rPr>
              <w:t>GM approval:</w:t>
            </w:r>
          </w:p>
          <w:p>
            <w:pPr>
              <w:pStyle w:val="6"/>
              <w:tabs>
                <w:tab w:val="clear" w:pos="4320"/>
                <w:tab w:val="clear" w:pos="8640"/>
              </w:tabs>
              <w:rPr>
                <w:b/>
                <w:sz w:val="16"/>
                <w:lang w:val="en-US"/>
              </w:rPr>
            </w:pPr>
          </w:p>
          <w:p>
            <w:pPr>
              <w:pStyle w:val="6"/>
              <w:tabs>
                <w:tab w:val="clear" w:pos="4320"/>
                <w:tab w:val="clear" w:pos="8640"/>
              </w:tabs>
              <w:rPr>
                <w:szCs w:val="24"/>
                <w:lang w:val="en-US"/>
              </w:rPr>
            </w:pPr>
            <w:r>
              <w:rPr>
                <w:rFonts w:hint="eastAsia" w:ascii="黑体" w:hAnsi="黑体" w:eastAsia="黑体"/>
                <w:szCs w:val="24"/>
                <w:lang w:val="en-US"/>
              </w:rPr>
              <w:t>签名</w:t>
            </w:r>
            <w:r>
              <w:rPr>
                <w:rFonts w:hint="eastAsia"/>
                <w:szCs w:val="24"/>
                <w:lang w:val="en-US"/>
              </w:rPr>
              <w:t>：</w:t>
            </w:r>
          </w:p>
          <w:p>
            <w:pPr>
              <w:pStyle w:val="6"/>
              <w:tabs>
                <w:tab w:val="clear" w:pos="4320"/>
                <w:tab w:val="clear" w:pos="8640"/>
              </w:tabs>
              <w:rPr>
                <w:b/>
                <w:sz w:val="16"/>
                <w:lang w:val="en-US"/>
              </w:rPr>
            </w:pPr>
            <w:r>
              <w:rPr>
                <w:b/>
                <w:sz w:val="16"/>
                <w:lang w:val="en-US"/>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6"/>
              <w:tabs>
                <w:tab w:val="clear" w:pos="4320"/>
                <w:tab w:val="clear" w:pos="8640"/>
              </w:tabs>
              <w:spacing w:line="440" w:lineRule="exact"/>
              <w:rPr>
                <w:b/>
                <w:sz w:val="18"/>
                <w:lang w:val="en-US"/>
              </w:rPr>
            </w:pPr>
            <w:r>
              <w:rPr>
                <w:rFonts w:hint="eastAsia" w:ascii="黑体" w:hAnsi="黑体" w:eastAsia="黑体"/>
                <w:szCs w:val="24"/>
                <w:lang w:val="en-US"/>
              </w:rPr>
              <w:t>生效日期</w:t>
            </w:r>
            <w:r>
              <w:rPr>
                <w:b/>
                <w:sz w:val="18"/>
                <w:lang w:val="en-US"/>
              </w:rPr>
              <w:t xml:space="preserve">Effective Date: </w:t>
            </w:r>
          </w:p>
          <w:p>
            <w:pPr>
              <w:pStyle w:val="6"/>
              <w:tabs>
                <w:tab w:val="clear" w:pos="4320"/>
                <w:tab w:val="clear" w:pos="8640"/>
              </w:tabs>
              <w:spacing w:line="440" w:lineRule="exact"/>
              <w:rPr>
                <w:b/>
                <w:sz w:val="18"/>
                <w:lang w:val="en-US"/>
              </w:rPr>
            </w:pPr>
            <w:r>
              <w:rPr>
                <w:rFonts w:hint="eastAsia" w:ascii="宋体" w:hAnsi="宋体"/>
                <w:szCs w:val="24"/>
              </w:rPr>
              <w:t>20</w:t>
            </w:r>
            <w:r>
              <w:rPr>
                <w:rFonts w:ascii="宋体" w:hAnsi="宋体"/>
                <w:szCs w:val="24"/>
              </w:rPr>
              <w:t>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9</w:t>
            </w:r>
            <w:r>
              <w:rPr>
                <w:rFonts w:hint="eastAsia" w:ascii="宋体" w:hAnsi="宋体"/>
                <w:szCs w:val="24"/>
              </w:rPr>
              <w:t>月1日</w:t>
            </w:r>
            <w:bookmarkStart w:id="1" w:name="_GoBack"/>
            <w:bookmarkEnd w:id="1"/>
          </w:p>
        </w:tc>
        <w:tc>
          <w:tcPr>
            <w:tcW w:w="3603" w:type="dxa"/>
          </w:tcPr>
          <w:p>
            <w:pPr>
              <w:pStyle w:val="6"/>
              <w:tabs>
                <w:tab w:val="clear" w:pos="4320"/>
                <w:tab w:val="clear" w:pos="8640"/>
              </w:tabs>
              <w:spacing w:line="440" w:lineRule="exact"/>
              <w:rPr>
                <w:b/>
                <w:sz w:val="18"/>
                <w:lang w:val="en-US"/>
              </w:rPr>
            </w:pPr>
            <w:r>
              <w:rPr>
                <w:rFonts w:hint="eastAsia" w:ascii="黑体" w:hAnsi="黑体" w:eastAsia="黑体"/>
                <w:szCs w:val="24"/>
                <w:lang w:val="en-US"/>
              </w:rPr>
              <w:t>取代</w:t>
            </w:r>
            <w:r>
              <w:rPr>
                <w:b/>
                <w:sz w:val="18"/>
                <w:lang w:val="en-US"/>
              </w:rPr>
              <w:t>Supersedes:</w:t>
            </w:r>
          </w:p>
          <w:p>
            <w:pPr>
              <w:pStyle w:val="6"/>
              <w:tabs>
                <w:tab w:val="clear" w:pos="4320"/>
                <w:tab w:val="clear" w:pos="8640"/>
              </w:tabs>
              <w:spacing w:line="440" w:lineRule="exact"/>
              <w:rPr>
                <w:b/>
                <w:sz w:val="18"/>
                <w:lang w:val="en-US"/>
              </w:rPr>
            </w:pPr>
            <w:r>
              <w:rPr>
                <w:rFonts w:hint="eastAsia" w:ascii="宋体" w:hAnsi="宋体"/>
                <w:szCs w:val="24"/>
                <w:lang w:val="en-US"/>
              </w:rPr>
              <w:t>原档号：</w:t>
            </w:r>
            <w:r>
              <w:rPr>
                <w:rFonts w:hint="eastAsia"/>
                <w:szCs w:val="24"/>
                <w:lang w:val="en-US"/>
              </w:rPr>
              <w:t>N/A</w:t>
            </w:r>
          </w:p>
        </w:tc>
        <w:tc>
          <w:tcPr>
            <w:tcW w:w="3052"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8"/>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exact"/>
          <w:jc w:val="center"/>
        </w:trPr>
        <w:tc>
          <w:tcPr>
            <w:tcW w:w="10085" w:type="dxa"/>
            <w:vAlign w:val="center"/>
          </w:tcPr>
          <w:p>
            <w:pPr>
              <w:ind w:left="18" w:leftChars="9" w:right="605"/>
              <w:rPr>
                <w:rFonts w:ascii="黑体" w:hAnsi="黑体" w:eastAsia="黑体"/>
                <w:sz w:val="24"/>
                <w:szCs w:val="24"/>
              </w:rPr>
            </w:pPr>
          </w:p>
          <w:p>
            <w:pPr>
              <w:tabs>
                <w:tab w:val="left" w:pos="1392"/>
              </w:tabs>
              <w:ind w:left="118" w:right="605" w:hanging="117" w:hangingChars="49"/>
              <w:rPr>
                <w:rFonts w:ascii="Tahoma" w:hAnsi="Tahoma" w:cs="Tahoma"/>
                <w:b/>
              </w:rPr>
            </w:pPr>
            <w:r>
              <w:rPr>
                <w:rFonts w:hint="eastAsia" w:ascii="黑体" w:hAnsi="黑体" w:eastAsia="黑体"/>
                <w:sz w:val="24"/>
                <w:szCs w:val="24"/>
              </w:rPr>
              <w:t>主题</w:t>
            </w:r>
            <w:r>
              <w:rPr>
                <w:rFonts w:ascii="黑体" w:hAnsi="黑体" w:eastAsia="黑体"/>
                <w:sz w:val="24"/>
                <w:szCs w:val="24"/>
              </w:rPr>
              <w:t>Subject</w:t>
            </w:r>
            <w:r>
              <w:rPr>
                <w:rFonts w:hint="eastAsia" w:ascii="黑体" w:hAnsi="黑体" w:eastAsia="黑体"/>
                <w:sz w:val="24"/>
                <w:szCs w:val="24"/>
              </w:rPr>
              <w:t>:</w:t>
            </w:r>
            <w:r>
              <w:rPr>
                <w:rFonts w:eastAsia="黑体"/>
                <w:sz w:val="24"/>
                <w:szCs w:val="24"/>
              </w:rPr>
              <w:t xml:space="preserve"> </w:t>
            </w:r>
            <w:r>
              <w:rPr>
                <w:rFonts w:hint="eastAsia" w:cs="Tahoma"/>
                <w:sz w:val="24"/>
              </w:rPr>
              <w:t>心肺复苏术操作程序</w:t>
            </w:r>
          </w:p>
          <w:p>
            <w:pPr>
              <w:rPr>
                <w:rFonts w:ascii="Tahoma" w:hAnsi="Tahoma" w:cs="Tahoma"/>
              </w:rPr>
            </w:pPr>
          </w:p>
          <w:p>
            <w:pPr>
              <w:ind w:left="18" w:leftChars="9" w:right="605"/>
              <w:rPr>
                <w:rFonts w:ascii="Tahoma" w:hAnsi="Tahoma" w:cs="Tahoma"/>
              </w:rPr>
            </w:pPr>
          </w:p>
          <w:p>
            <w:pPr>
              <w:rPr>
                <w:rFonts w:ascii="Tahoma" w:hAnsi="Tahoma" w:cs="Tahoma"/>
                <w:b/>
                <w:bCs/>
              </w:rPr>
            </w:pPr>
          </w:p>
          <w:p>
            <w:pPr>
              <w:spacing w:line="460" w:lineRule="exact"/>
              <w:jc w:val="both"/>
              <w:rPr>
                <w:rFonts w:ascii="宋体" w:hAnsi="宋体"/>
                <w:sz w:val="24"/>
                <w:szCs w:val="24"/>
              </w:rPr>
            </w:pPr>
          </w:p>
        </w:tc>
      </w:tr>
    </w:tbl>
    <w:p>
      <w:pPr>
        <w:rPr>
          <w:rFonts w:ascii="新宋体" w:hAnsi="新宋体" w:eastAsia="新宋体"/>
        </w:rPr>
      </w:pPr>
    </w:p>
    <w:tbl>
      <w:tblPr>
        <w:tblStyle w:val="8"/>
        <w:tblW w:w="102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9" w:hRule="atLeast"/>
          <w:jc w:val="center"/>
        </w:trPr>
        <w:tc>
          <w:tcPr>
            <w:tcW w:w="10201"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numPr>
                <w:ilvl w:val="0"/>
                <w:numId w:val="1"/>
              </w:numPr>
              <w:ind w:left="397" w:right="605" w:hanging="397"/>
              <w:rPr>
                <w:rFonts w:cs="Tahoma"/>
                <w:sz w:val="24"/>
              </w:rPr>
            </w:pPr>
            <w:r>
              <w:rPr>
                <w:rFonts w:hint="eastAsia" w:cs="Tahoma"/>
                <w:sz w:val="24"/>
              </w:rPr>
              <w:t>通过实施徒手心肺复苏，建立患者的循环，呼吸功能，以保证期重要脏器的血液和氧气供应，尽快恢复心跳、呼吸和大脑功能，达到挽救其生命的目的</w:t>
            </w:r>
            <w:r>
              <w:rPr>
                <w:rFonts w:cs="Tahoma"/>
                <w:sz w:val="24"/>
              </w:rPr>
              <w:t>。</w:t>
            </w:r>
          </w:p>
          <w:p>
            <w:pPr>
              <w:ind w:left="397" w:right="605"/>
              <w:rPr>
                <w:rFonts w:ascii="Tahoma" w:hAnsi="Tahoma" w:cs="Tahoma"/>
              </w:rPr>
            </w:pPr>
          </w:p>
        </w:tc>
      </w:tr>
    </w:tbl>
    <w:p>
      <w:pPr>
        <w:rPr>
          <w:rFonts w:ascii="新宋体" w:hAnsi="新宋体" w:eastAsia="新宋体"/>
        </w:rPr>
      </w:pPr>
    </w:p>
    <w:tbl>
      <w:tblPr>
        <w:tblStyle w:val="8"/>
        <w:tblW w:w="10297"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97" w:type="dxa"/>
          </w:tcPr>
          <w:p>
            <w:pPr>
              <w:spacing w:line="460" w:lineRule="exact"/>
              <w:rPr>
                <w:rFonts w:ascii="宋体" w:hAnsi="宋体"/>
                <w:sz w:val="24"/>
                <w:szCs w:val="24"/>
              </w:rPr>
            </w:pPr>
            <w:bookmarkStart w:id="0" w:name="_Hlk65487451"/>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tabs>
                <w:tab w:val="left" w:pos="498"/>
              </w:tabs>
              <w:ind w:left="356" w:leftChars="178"/>
              <w:rPr>
                <w:rFonts w:cs="Arial"/>
                <w:sz w:val="24"/>
              </w:rPr>
            </w:pPr>
          </w:p>
          <w:p>
            <w:pPr>
              <w:numPr>
                <w:ilvl w:val="0"/>
                <w:numId w:val="2"/>
              </w:numPr>
              <w:ind w:left="356" w:right="605" w:hanging="356"/>
              <w:rPr>
                <w:rFonts w:cs="Tahoma"/>
                <w:sz w:val="24"/>
              </w:rPr>
            </w:pPr>
            <w:r>
              <w:rPr>
                <w:rFonts w:hint="eastAsia" w:cs="Arial"/>
                <w:sz w:val="24"/>
              </w:rPr>
              <w:t>实施对象为呼吸、心跳停止的患者</w:t>
            </w:r>
            <w:r>
              <w:rPr>
                <w:rFonts w:cs="Arial"/>
                <w:sz w:val="24"/>
              </w:rPr>
              <w:t>。</w:t>
            </w:r>
          </w:p>
          <w:p>
            <w:pPr>
              <w:numPr>
                <w:ilvl w:val="0"/>
                <w:numId w:val="2"/>
              </w:numPr>
              <w:ind w:left="356" w:right="605" w:hanging="356"/>
              <w:rPr>
                <w:rFonts w:cs="Tahoma"/>
                <w:sz w:val="24"/>
              </w:rPr>
            </w:pPr>
            <w:r>
              <w:rPr>
                <w:rFonts w:hint="eastAsia" w:cs="Tahoma"/>
                <w:sz w:val="24"/>
              </w:rPr>
              <w:t>员工须经过专业培训方可为患者实施心肺复苏。</w:t>
            </w:r>
          </w:p>
          <w:p>
            <w:pPr>
              <w:ind w:right="605"/>
              <w:rPr>
                <w:rFonts w:cs="Tahoma"/>
                <w:sz w:val="24"/>
              </w:rPr>
            </w:pPr>
          </w:p>
        </w:tc>
      </w:tr>
      <w:bookmarkEnd w:id="0"/>
    </w:tbl>
    <w:p>
      <w:pPr>
        <w:rPr>
          <w:rFonts w:ascii="新宋体" w:hAnsi="新宋体" w:eastAsia="新宋体"/>
        </w:rPr>
      </w:pPr>
    </w:p>
    <w:tbl>
      <w:tblPr>
        <w:tblStyle w:val="8"/>
        <w:tblW w:w="5301" w:type="pct"/>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tabs>
                <w:tab w:val="left" w:pos="498"/>
                <w:tab w:val="left" w:pos="1206"/>
              </w:tabs>
              <w:ind w:left="498" w:firstLine="240" w:firstLineChars="100"/>
              <w:rPr>
                <w:rFonts w:cs="Arial"/>
                <w:sz w:val="24"/>
              </w:rPr>
            </w:pPr>
          </w:p>
          <w:p>
            <w:pPr>
              <w:suppressAutoHyphens/>
              <w:ind w:right="605"/>
              <w:rPr>
                <w:rFonts w:cs="Arial"/>
                <w:sz w:val="24"/>
              </w:rPr>
            </w:pPr>
          </w:p>
          <w:p>
            <w:pPr>
              <w:suppressAutoHyphens/>
              <w:ind w:right="605"/>
              <w:rPr>
                <w:rFonts w:cs="Arial"/>
                <w:sz w:val="24"/>
              </w:rPr>
            </w:pPr>
            <w:r>
              <w:rPr>
                <w:rFonts w:hint="eastAsia" w:cs="Arial"/>
                <w:sz w:val="24"/>
              </w:rPr>
              <w:t>1</w:t>
            </w:r>
            <w:r>
              <w:rPr>
                <w:rFonts w:cs="Arial"/>
                <w:sz w:val="24"/>
              </w:rPr>
              <w:t xml:space="preserve">. </w:t>
            </w:r>
            <w:r>
              <w:rPr>
                <w:rFonts w:hint="eastAsia" w:cs="Arial"/>
                <w:sz w:val="24"/>
              </w:rPr>
              <w:t>意识判断和打开气道。</w:t>
            </w:r>
          </w:p>
          <w:p>
            <w:pPr>
              <w:suppressAutoHyphens/>
              <w:ind w:left="464" w:leftChars="232" w:right="605"/>
              <w:rPr>
                <w:rFonts w:cs="Arial"/>
                <w:sz w:val="24"/>
              </w:rPr>
            </w:pPr>
            <w:r>
              <w:rPr>
                <w:rFonts w:hint="eastAsia" w:cs="Arial"/>
                <w:sz w:val="24"/>
              </w:rPr>
              <w:t>1</w:t>
            </w:r>
            <w:r>
              <w:rPr>
                <w:rFonts w:cs="Arial"/>
                <w:sz w:val="24"/>
              </w:rPr>
              <w:t xml:space="preserve">.1 </w:t>
            </w:r>
            <w:r>
              <w:rPr>
                <w:rFonts w:hint="eastAsia" w:cs="Arial"/>
                <w:sz w:val="24"/>
              </w:rPr>
              <w:t>意识判断：</w:t>
            </w:r>
          </w:p>
          <w:p>
            <w:pPr>
              <w:suppressAutoHyphens/>
              <w:ind w:left="464" w:leftChars="232" w:right="605"/>
              <w:rPr>
                <w:rFonts w:cs="Arial"/>
                <w:sz w:val="24"/>
              </w:rPr>
            </w:pPr>
            <w:r>
              <w:rPr>
                <w:rFonts w:hint="eastAsia" w:cs="Arial"/>
                <w:sz w:val="24"/>
              </w:rPr>
              <w:t>当发现一个到底的患者，首先必须判断其是否失去知觉。有以下几种方法：喊话并排其肩膀；呼救（请现场的人或附近的人协助抢救，打120急救电话或通知就近的医疗单位）；患者体位（当患者呈俯卧状态时，应先将患者双手上举，再将外侧（远离抢救者侧）下肢膝盖弯曲后驾在内侧（靠近抢救者侧）肢体上，然后一手护着患者的颈部，另一只手置于患者的胸部，小心、平稳、慢慢地将患者转为仰卧位，并将其双上肢放在躯干两旁；另一个方法是先将患者内侧下肢交叉在外侧肢体上，再将外侧上肢抬肩伸直靠于头侧，一手绕过患者内侧的上肢托肩，另一手置于患者髋关节处，将其整个地翻为仰卧位，并将其双上肢放在躯干两旁。）</w:t>
            </w:r>
          </w:p>
          <w:p>
            <w:pPr>
              <w:suppressAutoHyphens/>
              <w:ind w:left="464" w:leftChars="232" w:right="605"/>
              <w:rPr>
                <w:rFonts w:cs="Arial"/>
                <w:sz w:val="24"/>
              </w:rPr>
            </w:pPr>
            <w:r>
              <w:rPr>
                <w:rFonts w:hint="eastAsia" w:cs="Arial"/>
                <w:sz w:val="24"/>
              </w:rPr>
              <w:t>1</w:t>
            </w:r>
            <w:r>
              <w:rPr>
                <w:rFonts w:cs="Arial"/>
                <w:sz w:val="24"/>
              </w:rPr>
              <w:t xml:space="preserve">.2 </w:t>
            </w:r>
            <w:r>
              <w:rPr>
                <w:rFonts w:hint="eastAsia" w:cs="Arial"/>
                <w:sz w:val="24"/>
              </w:rPr>
              <w:t>打开气道：</w:t>
            </w:r>
          </w:p>
          <w:p>
            <w:pPr>
              <w:suppressAutoHyphens/>
              <w:ind w:left="464" w:leftChars="232" w:right="605"/>
              <w:rPr>
                <w:rFonts w:cs="Arial"/>
                <w:sz w:val="24"/>
              </w:rPr>
            </w:pPr>
            <w:r>
              <w:rPr>
                <w:rFonts w:hint="eastAsia" w:cs="Arial"/>
                <w:sz w:val="24"/>
              </w:rPr>
              <w:t>患者心跳呼吸停止、意识丧失后，全身肌肉松弛，口腔内的舌肌也松弛，舌根后坠而堵塞呼吸道，造成呼吸阻塞。在进行口对口吹气前，必须打开气道，保持气道通畅。</w:t>
            </w:r>
          </w:p>
          <w:p>
            <w:pPr>
              <w:suppressAutoHyphens/>
              <w:ind w:left="464" w:leftChars="232" w:right="605"/>
              <w:rPr>
                <w:rFonts w:cs="Arial"/>
                <w:sz w:val="24"/>
              </w:rPr>
            </w:pPr>
            <w:r>
              <w:rPr>
                <w:rFonts w:hint="eastAsia" w:cs="Arial"/>
                <w:sz w:val="24"/>
              </w:rPr>
              <w:t>1</w:t>
            </w:r>
            <w:r>
              <w:rPr>
                <w:rFonts w:cs="Arial"/>
                <w:sz w:val="24"/>
              </w:rPr>
              <w:t xml:space="preserve">.3 </w:t>
            </w:r>
            <w:r>
              <w:rPr>
                <w:rFonts w:hint="eastAsia" w:cs="Arial"/>
                <w:sz w:val="24"/>
              </w:rPr>
              <w:t>打开气道的方法有：</w:t>
            </w:r>
          </w:p>
          <w:p>
            <w:pPr>
              <w:suppressAutoHyphens/>
              <w:ind w:left="888" w:leftChars="444" w:right="605"/>
              <w:rPr>
                <w:rFonts w:cs="Arial"/>
                <w:sz w:val="24"/>
              </w:rPr>
            </w:pPr>
            <w:r>
              <w:rPr>
                <w:rFonts w:hint="eastAsia" w:cs="Arial"/>
                <w:sz w:val="24"/>
              </w:rPr>
              <w:t>1</w:t>
            </w:r>
            <w:r>
              <w:rPr>
                <w:rFonts w:cs="Arial"/>
                <w:sz w:val="24"/>
              </w:rPr>
              <w:t xml:space="preserve">.3.1 </w:t>
            </w:r>
            <w:r>
              <w:rPr>
                <w:rFonts w:hint="eastAsia" w:cs="Arial"/>
                <w:sz w:val="24"/>
              </w:rPr>
              <w:t>仰头抬颌法；</w:t>
            </w:r>
          </w:p>
          <w:p>
            <w:pPr>
              <w:suppressAutoHyphens/>
              <w:ind w:left="888" w:leftChars="444" w:right="605"/>
              <w:rPr>
                <w:rFonts w:cs="Arial"/>
                <w:sz w:val="24"/>
              </w:rPr>
            </w:pPr>
            <w:r>
              <w:rPr>
                <w:rFonts w:hint="eastAsia" w:cs="Arial"/>
                <w:sz w:val="24"/>
              </w:rPr>
              <w:t>操作者站或跪在患者一侧，一手置患者前额上稍用力后压，另一手用食指置于患者下颌下沿处，将颌部向上向前抬起，使患者的口腔、咽喉轴呈直线。再通过看（胸廓有无起伏）、听（有无气流呼出的声音）、感觉（面部感觉有无气流呼出）三种方法检查出患者是否有自主呼吸。如无呼吸应该立即进行口对口吹气。</w:t>
            </w:r>
          </w:p>
          <w:p>
            <w:pPr>
              <w:suppressAutoHyphens/>
              <w:ind w:right="605"/>
              <w:rPr>
                <w:rFonts w:cs="Arial"/>
                <w:sz w:val="24"/>
              </w:rPr>
            </w:pPr>
            <w:r>
              <w:rPr>
                <w:rFonts w:hint="eastAsia" w:cs="Arial"/>
                <w:sz w:val="24"/>
              </w:rPr>
              <w:drawing>
                <wp:inline distT="0" distB="0" distL="0" distR="0">
                  <wp:extent cx="2893695" cy="2647950"/>
                  <wp:effectExtent l="0" t="0" r="1905" b="0"/>
                  <wp:docPr id="5" name="图片 5" descr="卡通人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卡通人物&#10;&#10;描述已自动生成"/>
                          <pic:cNvPicPr>
                            <a:picLocks noChangeAspect="1"/>
                          </pic:cNvPicPr>
                        </pic:nvPicPr>
                        <pic:blipFill>
                          <a:blip r:embed="rId5">
                            <a:extLst>
                              <a:ext uri="{28A0092B-C50C-407E-A947-70E740481C1C}">
                                <a14:useLocalDpi xmlns:a14="http://schemas.microsoft.com/office/drawing/2010/main" val="0"/>
                              </a:ext>
                            </a:extLst>
                          </a:blip>
                          <a:srcRect l="16627" r="16864" b="14000"/>
                          <a:stretch>
                            <a:fillRect/>
                          </a:stretch>
                        </pic:blipFill>
                        <pic:spPr>
                          <a:xfrm>
                            <a:off x="0" y="0"/>
                            <a:ext cx="2904286" cy="2657113"/>
                          </a:xfrm>
                          <a:prstGeom prst="rect">
                            <a:avLst/>
                          </a:prstGeom>
                          <a:ln>
                            <a:noFill/>
                          </a:ln>
                        </pic:spPr>
                      </pic:pic>
                    </a:graphicData>
                  </a:graphic>
                </wp:inline>
              </w:drawing>
            </w:r>
            <w:r>
              <w:rPr>
                <w:rFonts w:hint="eastAsia" w:cs="Arial"/>
                <w:sz w:val="24"/>
              </w:rPr>
              <w:drawing>
                <wp:inline distT="0" distB="0" distL="0" distR="0">
                  <wp:extent cx="2774315" cy="2190750"/>
                  <wp:effectExtent l="0" t="0" r="6985" b="0"/>
                  <wp:docPr id="6" name="图片 6" descr="卡通人物&#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卡通人物&#10;&#10;低可信度描述已自动生成"/>
                          <pic:cNvPicPr>
                            <a:picLocks noChangeAspect="1"/>
                          </pic:cNvPicPr>
                        </pic:nvPicPr>
                        <pic:blipFill>
                          <a:blip r:embed="rId6">
                            <a:extLst>
                              <a:ext uri="{28A0092B-C50C-407E-A947-70E740481C1C}">
                                <a14:useLocalDpi xmlns:a14="http://schemas.microsoft.com/office/drawing/2010/main" val="0"/>
                              </a:ext>
                            </a:extLst>
                          </a:blip>
                          <a:srcRect l="9650" r="15520" b="12750"/>
                          <a:stretch>
                            <a:fillRect/>
                          </a:stretch>
                        </pic:blipFill>
                        <pic:spPr>
                          <a:xfrm>
                            <a:off x="0" y="0"/>
                            <a:ext cx="2780446" cy="2195421"/>
                          </a:xfrm>
                          <a:prstGeom prst="rect">
                            <a:avLst/>
                          </a:prstGeom>
                          <a:ln>
                            <a:noFill/>
                          </a:ln>
                        </pic:spPr>
                      </pic:pic>
                    </a:graphicData>
                  </a:graphic>
                </wp:inline>
              </w:drawing>
            </w:r>
          </w:p>
          <w:p>
            <w:pPr>
              <w:suppressAutoHyphens/>
              <w:ind w:right="605"/>
              <w:rPr>
                <w:rFonts w:cs="Arial"/>
                <w:sz w:val="24"/>
              </w:rPr>
            </w:pPr>
          </w:p>
          <w:p>
            <w:pPr>
              <w:suppressAutoHyphens/>
              <w:ind w:right="605"/>
              <w:rPr>
                <w:rFonts w:cs="Arial"/>
                <w:sz w:val="24"/>
              </w:rPr>
            </w:pPr>
            <w:r>
              <w:rPr>
                <w:rFonts w:hint="eastAsia" w:cs="Arial"/>
                <w:sz w:val="24"/>
              </w:rPr>
              <w:t>2</w:t>
            </w:r>
            <w:r>
              <w:rPr>
                <w:rFonts w:cs="Arial"/>
                <w:sz w:val="24"/>
              </w:rPr>
              <w:t xml:space="preserve">. </w:t>
            </w:r>
            <w:r>
              <w:rPr>
                <w:rFonts w:hint="eastAsia" w:cs="Arial"/>
                <w:sz w:val="24"/>
              </w:rPr>
              <w:t>人工呼吸</w:t>
            </w:r>
          </w:p>
          <w:p>
            <w:pPr>
              <w:suppressAutoHyphens/>
              <w:ind w:right="605"/>
              <w:rPr>
                <w:rFonts w:cs="Arial"/>
                <w:sz w:val="24"/>
              </w:rPr>
            </w:pPr>
            <w:r>
              <w:rPr>
                <w:rFonts w:hint="eastAsia" w:cs="Arial"/>
                <w:sz w:val="24"/>
              </w:rPr>
              <w:t>口对口吹气是向患者提供空气的有效方法。操作者置于患者前额的手在不移动的情况下，用拇指和食指捏紧患者的鼻孔，以免吹入的气体外溢，深吸一口气，尽力张嘴并紧贴患者的嘴，形成不透气的密封状态，以中等力量，1~1.5秒的速度向患者口中吹入约为800毫升的空气，吹至患者胸廓上升。吹气后操作者即抬头侧离一边，捏鼻的手同时松开，以利于患者呼气。如此以12分/分钟的频率反复进行，直到患者有自主呼吸为止。</w:t>
            </w:r>
          </w:p>
          <w:p>
            <w:pPr>
              <w:suppressAutoHyphens/>
              <w:ind w:right="605"/>
              <w:jc w:val="center"/>
              <w:rPr>
                <w:rFonts w:cs="Arial"/>
                <w:sz w:val="24"/>
              </w:rPr>
            </w:pPr>
            <w:r>
              <w:rPr>
                <w:rFonts w:hint="eastAsia" w:cs="Arial"/>
                <w:sz w:val="24"/>
              </w:rPr>
              <w:drawing>
                <wp:inline distT="0" distB="0" distL="0" distR="0">
                  <wp:extent cx="3699510" cy="2352675"/>
                  <wp:effectExtent l="0" t="0" r="0" b="0"/>
                  <wp:docPr id="7" name="图片 7" descr="卡通人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卡通人物&#10;&#10;描述已自动生成"/>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710711" cy="2359412"/>
                          </a:xfrm>
                          <a:prstGeom prst="rect">
                            <a:avLst/>
                          </a:prstGeom>
                        </pic:spPr>
                      </pic:pic>
                    </a:graphicData>
                  </a:graphic>
                </wp:inline>
              </w:drawing>
            </w:r>
          </w:p>
          <w:p>
            <w:pPr>
              <w:suppressAutoHyphens/>
              <w:ind w:right="605"/>
              <w:rPr>
                <w:rFonts w:cs="Arial"/>
                <w:sz w:val="24"/>
              </w:rPr>
            </w:pPr>
          </w:p>
          <w:p>
            <w:pPr>
              <w:suppressAutoHyphens/>
              <w:ind w:right="605"/>
              <w:rPr>
                <w:rFonts w:cs="Arial"/>
                <w:sz w:val="24"/>
              </w:rPr>
            </w:pPr>
            <w:r>
              <w:rPr>
                <w:rFonts w:hint="eastAsia" w:cs="Arial"/>
                <w:sz w:val="24"/>
              </w:rPr>
              <w:t>3</w:t>
            </w:r>
            <w:r>
              <w:rPr>
                <w:rFonts w:cs="Arial"/>
                <w:sz w:val="24"/>
              </w:rPr>
              <w:t xml:space="preserve">. </w:t>
            </w:r>
            <w:r>
              <w:rPr>
                <w:rFonts w:hint="eastAsia" w:cs="Arial"/>
                <w:sz w:val="24"/>
              </w:rPr>
              <w:t>人工循环</w:t>
            </w:r>
          </w:p>
          <w:p>
            <w:pPr>
              <w:suppressAutoHyphens/>
              <w:ind w:right="605"/>
              <w:rPr>
                <w:rFonts w:cs="Arial"/>
                <w:sz w:val="24"/>
              </w:rPr>
            </w:pPr>
            <w:r>
              <w:rPr>
                <w:rFonts w:hint="eastAsia" w:cs="Arial"/>
                <w:sz w:val="24"/>
              </w:rPr>
              <w:t>人工循环是通过胸外心脏按压形成胸腔内外压差，维持血液循环动力，并将人工呼吸后带有氧气的血液供给脑部及心脏以维持生命。方法如下：</w:t>
            </w:r>
          </w:p>
          <w:p>
            <w:pPr>
              <w:suppressAutoHyphens/>
              <w:ind w:left="464" w:leftChars="232" w:right="605"/>
              <w:rPr>
                <w:rFonts w:cs="Arial"/>
                <w:sz w:val="24"/>
              </w:rPr>
            </w:pPr>
            <w:r>
              <w:rPr>
                <w:rFonts w:hint="eastAsia" w:cs="Arial"/>
                <w:sz w:val="24"/>
              </w:rPr>
              <w:t>3</w:t>
            </w:r>
            <w:r>
              <w:rPr>
                <w:rFonts w:cs="Arial"/>
                <w:sz w:val="24"/>
              </w:rPr>
              <w:t xml:space="preserve">.1 </w:t>
            </w:r>
            <w:r>
              <w:rPr>
                <w:rFonts w:hint="eastAsia" w:cs="Arial"/>
                <w:sz w:val="24"/>
              </w:rPr>
              <w:t>判断患者有无脉搏。操作者跪于患者一侧，一手置于患者前额使头部保持后仰位，另一手以食指和中指尖置于喉结上，然后滑向颈肌（胸锁乳突肌）旁的凹陷处，触摸颈动脉。如果没有搏动，表示心脏已经停止跳动，应立即进行胸外心脏按压。</w:t>
            </w:r>
          </w:p>
          <w:p>
            <w:pPr>
              <w:suppressAutoHyphens/>
              <w:ind w:left="464" w:leftChars="232" w:right="605"/>
              <w:rPr>
                <w:rFonts w:cs="Arial"/>
                <w:sz w:val="24"/>
              </w:rPr>
            </w:pPr>
            <w:r>
              <w:rPr>
                <w:rFonts w:hint="eastAsia" w:cs="Arial"/>
                <w:sz w:val="24"/>
              </w:rPr>
              <w:t>3</w:t>
            </w:r>
            <w:r>
              <w:rPr>
                <w:rFonts w:cs="Arial"/>
                <w:sz w:val="24"/>
              </w:rPr>
              <w:t xml:space="preserve">.2 </w:t>
            </w:r>
            <w:r>
              <w:rPr>
                <w:rFonts w:hint="eastAsia" w:cs="Arial"/>
                <w:sz w:val="24"/>
              </w:rPr>
              <w:t>胸外心脏按压。</w:t>
            </w:r>
          </w:p>
          <w:p>
            <w:pPr>
              <w:suppressAutoHyphens/>
              <w:ind w:left="888" w:leftChars="444" w:right="605"/>
              <w:rPr>
                <w:rFonts w:cs="Arial"/>
                <w:sz w:val="24"/>
              </w:rPr>
            </w:pPr>
            <w:r>
              <w:rPr>
                <w:rFonts w:hint="eastAsia" w:cs="Arial"/>
                <w:sz w:val="24"/>
              </w:rPr>
              <w:t>3</w:t>
            </w:r>
            <w:r>
              <w:rPr>
                <w:rFonts w:cs="Arial"/>
                <w:sz w:val="24"/>
              </w:rPr>
              <w:t xml:space="preserve">.2.1 </w:t>
            </w:r>
            <w:r>
              <w:rPr>
                <w:rFonts w:hint="eastAsia" w:cs="Arial"/>
                <w:sz w:val="24"/>
              </w:rPr>
              <w:t>确定正确的胸外心脏按压位置。先找到肋弓下缘，用一只手的食指和中指沿肋骨下缘向上摸至两侧肋缘于胸骨连接处的切痕迹，以食指和中指放于该切迹上，将另一只手的掌根部放于横指旁，再将第一只手叠放在另一只手的手背上，两手手指交叉扣起，手指离开胸壁。</w:t>
            </w:r>
          </w:p>
          <w:p>
            <w:pPr>
              <w:suppressAutoHyphens/>
              <w:ind w:left="888" w:leftChars="444" w:right="605"/>
              <w:rPr>
                <w:rFonts w:cs="Arial"/>
                <w:sz w:val="24"/>
              </w:rPr>
            </w:pPr>
            <w:r>
              <w:rPr>
                <w:rFonts w:hint="eastAsia" w:cs="Arial"/>
                <w:sz w:val="24"/>
              </w:rPr>
              <w:t>3</w:t>
            </w:r>
            <w:r>
              <w:rPr>
                <w:rFonts w:cs="Arial"/>
                <w:sz w:val="24"/>
              </w:rPr>
              <w:t xml:space="preserve">.2.2 </w:t>
            </w:r>
            <w:r>
              <w:rPr>
                <w:rFonts w:hint="eastAsia" w:cs="Arial"/>
                <w:sz w:val="24"/>
              </w:rPr>
              <w:t>施行按压。操作者前倾上身，双肩位于患者胸部上方正中位置，双臂与患者的胸骨垂直，利用上半身的体重和肩臂力量，垂直向下按压胸骨，使胸骨下陷4-5厘米，按压和放松的力量和时间必须均匀、有规律，不能猛压、猛松。放松时掌根不要离开按压处。按压的频率为80-100次/分钟，按压与人工呼吸的次数比率为：单人复苏15:2，双人复苏5:1.。</w:t>
            </w:r>
          </w:p>
          <w:p>
            <w:pPr>
              <w:suppressAutoHyphens/>
              <w:ind w:right="605"/>
              <w:jc w:val="center"/>
              <w:rPr>
                <w:rFonts w:cs="Arial"/>
                <w:sz w:val="24"/>
              </w:rPr>
            </w:pPr>
            <w:r>
              <w:rPr>
                <w:rFonts w:hint="eastAsia" w:cs="Arial"/>
                <w:sz w:val="24"/>
              </w:rPr>
              <w:drawing>
                <wp:inline distT="0" distB="0" distL="0" distR="0">
                  <wp:extent cx="2215515" cy="2238375"/>
                  <wp:effectExtent l="0" t="0" r="0" b="0"/>
                  <wp:docPr id="8" name="图片 8" descr="卡通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卡通画&#10;&#10;描述已自动生成"/>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225224" cy="2247931"/>
                          </a:xfrm>
                          <a:prstGeom prst="rect">
                            <a:avLst/>
                          </a:prstGeom>
                        </pic:spPr>
                      </pic:pic>
                    </a:graphicData>
                  </a:graphic>
                </wp:inline>
              </w:drawing>
            </w:r>
          </w:p>
          <w:p>
            <w:pPr>
              <w:suppressAutoHyphens/>
              <w:ind w:right="605"/>
              <w:rPr>
                <w:rFonts w:cs="Arial"/>
                <w:sz w:val="24"/>
              </w:rPr>
            </w:pPr>
            <w:r>
              <w:rPr>
                <w:rFonts w:hint="eastAsia" w:cs="Arial"/>
                <w:sz w:val="24"/>
              </w:rPr>
              <w:t>4</w:t>
            </w:r>
            <w:r>
              <w:rPr>
                <w:rFonts w:cs="Arial"/>
                <w:sz w:val="24"/>
              </w:rPr>
              <w:t xml:space="preserve">. </w:t>
            </w:r>
            <w:r>
              <w:rPr>
                <w:rFonts w:hint="eastAsia" w:cs="Arial"/>
                <w:sz w:val="24"/>
              </w:rPr>
              <w:t>注意事项</w:t>
            </w:r>
          </w:p>
          <w:p>
            <w:pPr>
              <w:suppressAutoHyphens/>
              <w:ind w:right="605"/>
              <w:rPr>
                <w:rFonts w:cs="Arial"/>
                <w:sz w:val="24"/>
              </w:rPr>
            </w:pPr>
            <w:r>
              <w:rPr>
                <w:rFonts w:hint="eastAsia" w:cs="Arial"/>
                <w:sz w:val="24"/>
              </w:rPr>
              <w:t>4</w:t>
            </w:r>
            <w:r>
              <w:rPr>
                <w:rFonts w:cs="Arial"/>
                <w:sz w:val="24"/>
              </w:rPr>
              <w:t xml:space="preserve">.1 </w:t>
            </w:r>
            <w:r>
              <w:rPr>
                <w:rFonts w:hint="eastAsia" w:cs="Arial"/>
                <w:sz w:val="24"/>
              </w:rPr>
              <w:t>判断心跳、呼吸停止要迅速准确，尽早进行心肺复苏。</w:t>
            </w:r>
          </w:p>
          <w:p>
            <w:pPr>
              <w:suppressAutoHyphens/>
              <w:ind w:right="605"/>
              <w:rPr>
                <w:rFonts w:cs="Arial"/>
                <w:sz w:val="24"/>
              </w:rPr>
            </w:pPr>
            <w:r>
              <w:rPr>
                <w:rFonts w:cs="Arial"/>
                <w:sz w:val="24"/>
              </w:rPr>
              <w:t xml:space="preserve">4.2 </w:t>
            </w:r>
            <w:r>
              <w:rPr>
                <w:rFonts w:hint="eastAsia" w:cs="Arial"/>
                <w:sz w:val="24"/>
              </w:rPr>
              <w:t>胸外按压要确保足够的频率和幅度，尽可能不中断胸外按压，每次胸外按压后要让胸廓充分的回弹，以保证心脏得到充分的血液回流。</w:t>
            </w:r>
          </w:p>
          <w:p>
            <w:pPr>
              <w:suppressAutoHyphens/>
              <w:ind w:right="605"/>
              <w:rPr>
                <w:rFonts w:cs="Arial"/>
                <w:sz w:val="24"/>
              </w:rPr>
            </w:pPr>
            <w:r>
              <w:rPr>
                <w:rFonts w:hint="eastAsia" w:cs="Arial"/>
                <w:sz w:val="24"/>
              </w:rPr>
              <w:t>4</w:t>
            </w:r>
            <w:r>
              <w:rPr>
                <w:rFonts w:cs="Arial"/>
                <w:sz w:val="24"/>
              </w:rPr>
              <w:t xml:space="preserve">.3 </w:t>
            </w:r>
            <w:r>
              <w:rPr>
                <w:rFonts w:hint="eastAsia" w:cs="Arial"/>
                <w:sz w:val="24"/>
              </w:rPr>
              <w:t>人工呼吸每次吹气量大约500-600ml，吹气量过大可引起胃胀气，吹气量过小达不到吹气目的。</w:t>
            </w:r>
          </w:p>
          <w:p>
            <w:pPr>
              <w:suppressAutoHyphens/>
              <w:ind w:right="605"/>
              <w:rPr>
                <w:rFonts w:cs="Arial"/>
                <w:sz w:val="24"/>
              </w:rPr>
            </w:pPr>
            <w:r>
              <w:rPr>
                <w:rFonts w:hint="eastAsia" w:cs="Arial"/>
                <w:sz w:val="24"/>
              </w:rPr>
              <w:t>4</w:t>
            </w:r>
            <w:r>
              <w:rPr>
                <w:rFonts w:cs="Arial"/>
                <w:sz w:val="24"/>
              </w:rPr>
              <w:t xml:space="preserve">.4 </w:t>
            </w:r>
            <w:r>
              <w:rPr>
                <w:rFonts w:hint="eastAsia" w:cs="Arial"/>
                <w:sz w:val="24"/>
              </w:rPr>
              <w:t>检查颈动脉，手法要快而准确，触摸时间不能超过10秒。</w:t>
            </w:r>
          </w:p>
          <w:p>
            <w:pPr>
              <w:suppressAutoHyphens/>
              <w:ind w:right="605"/>
              <w:rPr>
                <w:rFonts w:cs="Arial"/>
                <w:sz w:val="24"/>
              </w:rPr>
            </w:pPr>
            <w:r>
              <w:rPr>
                <w:rFonts w:hint="eastAsia" w:cs="Arial"/>
                <w:sz w:val="24"/>
              </w:rPr>
              <w:t>4</w:t>
            </w:r>
            <w:r>
              <w:rPr>
                <w:rFonts w:cs="Arial"/>
                <w:sz w:val="24"/>
              </w:rPr>
              <w:t xml:space="preserve">.5 </w:t>
            </w:r>
            <w:r>
              <w:rPr>
                <w:rFonts w:hint="eastAsia" w:cs="Arial"/>
                <w:sz w:val="24"/>
              </w:rPr>
              <w:t>心脏按压部位准确，按压过程中手不能离开按压部位。胸外按压时肩、肘、腕在一条直线上，并与患者身体长轴垂直。按压时，手掌掌根不能离开胸壁。</w:t>
            </w:r>
          </w:p>
          <w:p>
            <w:pPr>
              <w:suppressAutoHyphens/>
              <w:ind w:right="605"/>
              <w:rPr>
                <w:rFonts w:cs="Arial"/>
                <w:sz w:val="24"/>
              </w:rPr>
            </w:pPr>
            <w:r>
              <w:rPr>
                <w:rFonts w:hint="eastAsia" w:cs="Arial"/>
                <w:sz w:val="24"/>
              </w:rPr>
              <w:t>4</w:t>
            </w:r>
            <w:r>
              <w:rPr>
                <w:rFonts w:cs="Arial"/>
                <w:sz w:val="24"/>
              </w:rPr>
              <w:t xml:space="preserve">.6 </w:t>
            </w:r>
            <w:r>
              <w:rPr>
                <w:rFonts w:hint="eastAsia" w:cs="Arial"/>
                <w:sz w:val="24"/>
              </w:rPr>
              <w:t>成人胸外心脏按压频率至少100次/min，按压幅度至少5cm，儿和儿童的按压幅度至少为胸廓前后径的三分之一（婴儿大约未4cm,儿童大约未5cm）按压与呼吸比例30:2。</w:t>
            </w:r>
          </w:p>
          <w:p>
            <w:pPr>
              <w:suppressAutoHyphens/>
              <w:ind w:right="605"/>
              <w:rPr>
                <w:rFonts w:cs="Arial"/>
                <w:sz w:val="24"/>
              </w:rPr>
            </w:pPr>
            <w:r>
              <w:rPr>
                <w:rFonts w:cs="Arial"/>
                <w:sz w:val="24"/>
              </w:rPr>
              <w:t xml:space="preserve">4.7 </w:t>
            </w:r>
            <w:r>
              <w:rPr>
                <w:rFonts w:hint="eastAsia" w:cs="Arial"/>
                <w:sz w:val="24"/>
              </w:rPr>
              <w:t>心肺复苏过程中应密切观察患者心肺复苏的有效指征，包括：大动脉搏动，收缩压维持在60mmHg以上；面部、口唇、甲床、皮肤等色泽转为红润；散大的瞳孔缩小；有自主呼吸；意识逐渐恢复，昏迷变浅，出现反射或挣扎；有小便出现；心电图检查有波形改变，室颤波由细小变为粗大，甚至恢复窦性心律。</w:t>
            </w:r>
          </w:p>
        </w:tc>
      </w:tr>
    </w:tbl>
    <w:p>
      <w:pPr>
        <w:rPr>
          <w:rFonts w:ascii="新宋体" w:hAnsi="新宋体" w:eastAsia="新宋体"/>
        </w:rPr>
      </w:pPr>
    </w:p>
    <w:sectPr>
      <w:headerReference r:id="rId3" w:type="default"/>
      <w:pgSz w:w="11906" w:h="16838"/>
      <w:pgMar w:top="2045" w:right="1134" w:bottom="1246" w:left="1134"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G Times">
    <w:altName w:val="Times New Roman"/>
    <w:panose1 w:val="00000000000000000000"/>
    <w:charset w:val="00"/>
    <w:family w:val="roman"/>
    <w:pitch w:val="default"/>
    <w:sig w:usb0="00000000" w:usb1="00000000" w:usb2="00000000" w:usb3="00000000" w:csb0="00000093" w:csb1="00000000"/>
  </w:font>
  <w:font w:name="PMingLiU">
    <w:altName w:val="Microsoft JhengHei UI"/>
    <w:panose1 w:val="02010601000101010101"/>
    <w:charset w:val="88"/>
    <w:family w:val="roman"/>
    <w:pitch w:val="default"/>
    <w:sig w:usb0="00000000" w:usb1="00000000" w:usb2="00000016" w:usb3="00000000" w:csb0="00100001" w:csb1="00000000"/>
  </w:font>
  <w:font w:name="Garamond">
    <w:panose1 w:val="02020404030301010803"/>
    <w:charset w:val="00"/>
    <w:family w:val="roman"/>
    <w:pitch w:val="default"/>
    <w:sig w:usb0="00000287" w:usb1="00000000" w:usb2="00000000" w:usb3="00000000" w:csb0="0000009F" w:csb1="DFD7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drawing>
        <wp:inline distT="0" distB="0" distL="0" distR="0">
          <wp:extent cx="2847975" cy="438150"/>
          <wp:effectExtent l="0" t="0" r="0" b="0"/>
          <wp:docPr id="4" name="图片 10"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847975" cy="4381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B334C1"/>
    <w:multiLevelType w:val="multilevel"/>
    <w:tmpl w:val="15B334C1"/>
    <w:lvl w:ilvl="0" w:tentative="0">
      <w:start w:val="1"/>
      <w:numFmt w:val="decimal"/>
      <w:lvlText w:val="%1."/>
      <w:lvlJc w:val="left"/>
      <w:pPr>
        <w:ind w:left="720" w:hanging="420"/>
      </w:pPr>
    </w:lvl>
    <w:lvl w:ilvl="1" w:tentative="0">
      <w:start w:val="1"/>
      <w:numFmt w:val="lowerLetter"/>
      <w:lvlText w:val="%2)"/>
      <w:lvlJc w:val="left"/>
      <w:pPr>
        <w:ind w:left="1140" w:hanging="420"/>
      </w:pPr>
    </w:lvl>
    <w:lvl w:ilvl="2" w:tentative="0">
      <w:start w:val="1"/>
      <w:numFmt w:val="lowerRoman"/>
      <w:lvlText w:val="%3."/>
      <w:lvlJc w:val="right"/>
      <w:pPr>
        <w:ind w:left="1560" w:hanging="420"/>
      </w:pPr>
    </w:lvl>
    <w:lvl w:ilvl="3" w:tentative="0">
      <w:start w:val="1"/>
      <w:numFmt w:val="decimal"/>
      <w:lvlText w:val="%4."/>
      <w:lvlJc w:val="left"/>
      <w:pPr>
        <w:ind w:left="1980" w:hanging="420"/>
      </w:pPr>
    </w:lvl>
    <w:lvl w:ilvl="4" w:tentative="0">
      <w:start w:val="1"/>
      <w:numFmt w:val="lowerLetter"/>
      <w:lvlText w:val="%5)"/>
      <w:lvlJc w:val="left"/>
      <w:pPr>
        <w:ind w:left="2400" w:hanging="420"/>
      </w:pPr>
    </w:lvl>
    <w:lvl w:ilvl="5" w:tentative="0">
      <w:start w:val="1"/>
      <w:numFmt w:val="lowerRoman"/>
      <w:lvlText w:val="%6."/>
      <w:lvlJc w:val="right"/>
      <w:pPr>
        <w:ind w:left="2820" w:hanging="420"/>
      </w:pPr>
    </w:lvl>
    <w:lvl w:ilvl="6" w:tentative="0">
      <w:start w:val="1"/>
      <w:numFmt w:val="decimal"/>
      <w:lvlText w:val="%7."/>
      <w:lvlJc w:val="left"/>
      <w:pPr>
        <w:ind w:left="3240" w:hanging="420"/>
      </w:pPr>
    </w:lvl>
    <w:lvl w:ilvl="7" w:tentative="0">
      <w:start w:val="1"/>
      <w:numFmt w:val="lowerLetter"/>
      <w:lvlText w:val="%8)"/>
      <w:lvlJc w:val="left"/>
      <w:pPr>
        <w:ind w:left="3660" w:hanging="420"/>
      </w:pPr>
    </w:lvl>
    <w:lvl w:ilvl="8" w:tentative="0">
      <w:start w:val="1"/>
      <w:numFmt w:val="lowerRoman"/>
      <w:lvlText w:val="%9."/>
      <w:lvlJc w:val="right"/>
      <w:pPr>
        <w:ind w:left="4080" w:hanging="420"/>
      </w:pPr>
    </w:lvl>
  </w:abstractNum>
  <w:abstractNum w:abstractNumId="1">
    <w:nsid w:val="1CC73D7D"/>
    <w:multiLevelType w:val="multilevel"/>
    <w:tmpl w:val="1CC73D7D"/>
    <w:lvl w:ilvl="0" w:tentative="0">
      <w:start w:val="1"/>
      <w:numFmt w:val="decimal"/>
      <w:lvlText w:val="%1."/>
      <w:lvlJc w:val="left"/>
      <w:pPr>
        <w:ind w:left="775" w:hanging="375"/>
      </w:pPr>
      <w:rPr>
        <w:rFonts w:hint="default"/>
      </w:rPr>
    </w:lvl>
    <w:lvl w:ilvl="1" w:tentative="0">
      <w:start w:val="1"/>
      <w:numFmt w:val="decimal"/>
      <w:lvlText w:val="(%2)"/>
      <w:lvlJc w:val="left"/>
      <w:pPr>
        <w:ind w:left="1285" w:hanging="465"/>
      </w:pPr>
      <w:rPr>
        <w:rFonts w:hint="default"/>
      </w:r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I1ZDBlMGU5ODg0MjFmMWM5ODUwYjE5NDUzNjg2ZWYifQ=="/>
  </w:docVars>
  <w:rsids>
    <w:rsidRoot w:val="009C481D"/>
    <w:rsid w:val="00026DD7"/>
    <w:rsid w:val="000406FE"/>
    <w:rsid w:val="00051082"/>
    <w:rsid w:val="0005350D"/>
    <w:rsid w:val="00064F39"/>
    <w:rsid w:val="00070921"/>
    <w:rsid w:val="00074725"/>
    <w:rsid w:val="00076307"/>
    <w:rsid w:val="000962D8"/>
    <w:rsid w:val="000B34B2"/>
    <w:rsid w:val="000D01DB"/>
    <w:rsid w:val="001405AD"/>
    <w:rsid w:val="001413AF"/>
    <w:rsid w:val="00174FA7"/>
    <w:rsid w:val="001A29A1"/>
    <w:rsid w:val="001A3E74"/>
    <w:rsid w:val="001B45FA"/>
    <w:rsid w:val="001C40B7"/>
    <w:rsid w:val="001F25CD"/>
    <w:rsid w:val="002248EE"/>
    <w:rsid w:val="00232E33"/>
    <w:rsid w:val="00276647"/>
    <w:rsid w:val="00283E94"/>
    <w:rsid w:val="002A254A"/>
    <w:rsid w:val="002D0B87"/>
    <w:rsid w:val="002D1D2B"/>
    <w:rsid w:val="002D6B1C"/>
    <w:rsid w:val="002D6DB2"/>
    <w:rsid w:val="002D7A86"/>
    <w:rsid w:val="002E0F2D"/>
    <w:rsid w:val="002F5350"/>
    <w:rsid w:val="00304B2C"/>
    <w:rsid w:val="00311BCD"/>
    <w:rsid w:val="00345AFD"/>
    <w:rsid w:val="00352E7F"/>
    <w:rsid w:val="00375140"/>
    <w:rsid w:val="003A3120"/>
    <w:rsid w:val="003A436E"/>
    <w:rsid w:val="003A7D8D"/>
    <w:rsid w:val="003B0B94"/>
    <w:rsid w:val="003C26F1"/>
    <w:rsid w:val="003D3DE5"/>
    <w:rsid w:val="003D7CD9"/>
    <w:rsid w:val="003F1619"/>
    <w:rsid w:val="00402835"/>
    <w:rsid w:val="0040289B"/>
    <w:rsid w:val="004303F4"/>
    <w:rsid w:val="00445EB4"/>
    <w:rsid w:val="00461A63"/>
    <w:rsid w:val="00490C9E"/>
    <w:rsid w:val="004A35A6"/>
    <w:rsid w:val="004A4BC0"/>
    <w:rsid w:val="004B62AB"/>
    <w:rsid w:val="004F1ED7"/>
    <w:rsid w:val="0050039F"/>
    <w:rsid w:val="00506943"/>
    <w:rsid w:val="005557F4"/>
    <w:rsid w:val="005D7CF2"/>
    <w:rsid w:val="006127C9"/>
    <w:rsid w:val="006272E6"/>
    <w:rsid w:val="00640F59"/>
    <w:rsid w:val="006421D1"/>
    <w:rsid w:val="00653637"/>
    <w:rsid w:val="00655376"/>
    <w:rsid w:val="006A138A"/>
    <w:rsid w:val="006B3168"/>
    <w:rsid w:val="006D248A"/>
    <w:rsid w:val="006D4592"/>
    <w:rsid w:val="006D6D5C"/>
    <w:rsid w:val="00703FA7"/>
    <w:rsid w:val="0070476C"/>
    <w:rsid w:val="007311D6"/>
    <w:rsid w:val="007466BC"/>
    <w:rsid w:val="007639D5"/>
    <w:rsid w:val="0077297A"/>
    <w:rsid w:val="00812204"/>
    <w:rsid w:val="00837FE1"/>
    <w:rsid w:val="008571CF"/>
    <w:rsid w:val="008A22E2"/>
    <w:rsid w:val="008A61F1"/>
    <w:rsid w:val="008B37CB"/>
    <w:rsid w:val="008B73C2"/>
    <w:rsid w:val="008C5FC5"/>
    <w:rsid w:val="00946BF7"/>
    <w:rsid w:val="00955C0C"/>
    <w:rsid w:val="00962CD8"/>
    <w:rsid w:val="00972499"/>
    <w:rsid w:val="00982E26"/>
    <w:rsid w:val="009A30DC"/>
    <w:rsid w:val="009C3032"/>
    <w:rsid w:val="009C481D"/>
    <w:rsid w:val="009D0B10"/>
    <w:rsid w:val="009F59F3"/>
    <w:rsid w:val="009F69E9"/>
    <w:rsid w:val="00A25A5B"/>
    <w:rsid w:val="00A26B93"/>
    <w:rsid w:val="00A44E10"/>
    <w:rsid w:val="00A61E75"/>
    <w:rsid w:val="00A729E1"/>
    <w:rsid w:val="00AA256C"/>
    <w:rsid w:val="00AB6623"/>
    <w:rsid w:val="00AC5C73"/>
    <w:rsid w:val="00AD72D5"/>
    <w:rsid w:val="00AE1A4F"/>
    <w:rsid w:val="00AE62AF"/>
    <w:rsid w:val="00AF0454"/>
    <w:rsid w:val="00B25212"/>
    <w:rsid w:val="00B329DF"/>
    <w:rsid w:val="00B602B4"/>
    <w:rsid w:val="00BA17B5"/>
    <w:rsid w:val="00BE5787"/>
    <w:rsid w:val="00BE7A03"/>
    <w:rsid w:val="00C01B12"/>
    <w:rsid w:val="00C0453E"/>
    <w:rsid w:val="00C277D5"/>
    <w:rsid w:val="00C40D5A"/>
    <w:rsid w:val="00C43DE1"/>
    <w:rsid w:val="00C619A4"/>
    <w:rsid w:val="00C662C4"/>
    <w:rsid w:val="00C96778"/>
    <w:rsid w:val="00CD1713"/>
    <w:rsid w:val="00CF7F58"/>
    <w:rsid w:val="00D521B8"/>
    <w:rsid w:val="00D625B8"/>
    <w:rsid w:val="00D65EC6"/>
    <w:rsid w:val="00D753C6"/>
    <w:rsid w:val="00DA34E1"/>
    <w:rsid w:val="00DA5B66"/>
    <w:rsid w:val="00E01C5F"/>
    <w:rsid w:val="00E03482"/>
    <w:rsid w:val="00E14CBE"/>
    <w:rsid w:val="00E326B8"/>
    <w:rsid w:val="00E43BFA"/>
    <w:rsid w:val="00E44EBF"/>
    <w:rsid w:val="00E70245"/>
    <w:rsid w:val="00E867D1"/>
    <w:rsid w:val="00E902FC"/>
    <w:rsid w:val="00EE0D3B"/>
    <w:rsid w:val="00EE4626"/>
    <w:rsid w:val="00EF029B"/>
    <w:rsid w:val="00F0003A"/>
    <w:rsid w:val="00F46EF5"/>
    <w:rsid w:val="00F47846"/>
    <w:rsid w:val="00F65605"/>
    <w:rsid w:val="00F7292D"/>
    <w:rsid w:val="00FB1F4F"/>
    <w:rsid w:val="00FF49C6"/>
    <w:rsid w:val="36736970"/>
    <w:rsid w:val="6D254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lang w:val="en-US" w:eastAsia="zh-CN" w:bidi="ar-SA"/>
    </w:rPr>
  </w:style>
  <w:style w:type="paragraph" w:styleId="2">
    <w:name w:val="heading 1"/>
    <w:basedOn w:val="1"/>
    <w:next w:val="1"/>
    <w:qFormat/>
    <w:uiPriority w:val="0"/>
    <w:pPr>
      <w:keepNext/>
      <w:outlineLvl w:val="0"/>
    </w:pPr>
    <w:rPr>
      <w:b/>
      <w:i/>
      <w:sz w:val="28"/>
    </w:rPr>
  </w:style>
  <w:style w:type="paragraph" w:styleId="3">
    <w:name w:val="heading 3"/>
    <w:basedOn w:val="1"/>
    <w:next w:val="1"/>
    <w:qFormat/>
    <w:uiPriority w:val="0"/>
    <w:pPr>
      <w:keepNext/>
      <w:outlineLvl w:val="2"/>
    </w:pPr>
    <w:rPr>
      <w:b/>
      <w:sz w:val="16"/>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lock Text"/>
    <w:basedOn w:val="1"/>
    <w:qFormat/>
    <w:uiPriority w:val="0"/>
    <w:pPr>
      <w:tabs>
        <w:tab w:val="left" w:pos="-1440"/>
        <w:tab w:val="left" w:pos="-720"/>
        <w:tab w:val="left" w:pos="1200"/>
        <w:tab w:val="left" w:pos="1440"/>
      </w:tabs>
      <w:suppressAutoHyphens/>
      <w:spacing w:line="228" w:lineRule="auto"/>
      <w:ind w:left="1200" w:right="605" w:hanging="800"/>
      <w:jc w:val="both"/>
    </w:pPr>
    <w:rPr>
      <w:rFonts w:ascii="CG Times" w:hAnsi="CG Times" w:eastAsia="PMingLiU"/>
      <w:spacing w:val="-3"/>
      <w:sz w:val="24"/>
      <w:lang w:eastAsia="en-US"/>
    </w:rPr>
  </w:style>
  <w:style w:type="paragraph" w:styleId="5">
    <w:name w:val="footer"/>
    <w:basedOn w:val="1"/>
    <w:uiPriority w:val="0"/>
    <w:pPr>
      <w:tabs>
        <w:tab w:val="center" w:pos="4153"/>
        <w:tab w:val="right" w:pos="8306"/>
      </w:tabs>
      <w:snapToGrid w:val="0"/>
    </w:pPr>
    <w:rPr>
      <w:sz w:val="18"/>
      <w:szCs w:val="18"/>
    </w:rPr>
  </w:style>
  <w:style w:type="paragraph" w:styleId="6">
    <w:name w:val="header"/>
    <w:basedOn w:val="1"/>
    <w:link w:val="13"/>
    <w:qFormat/>
    <w:uiPriority w:val="99"/>
    <w:pPr>
      <w:tabs>
        <w:tab w:val="center" w:pos="4320"/>
        <w:tab w:val="right" w:pos="8640"/>
      </w:tabs>
    </w:pPr>
    <w:rPr>
      <w:sz w:val="24"/>
      <w:lang w:val="zh-CN"/>
    </w:rPr>
  </w:style>
  <w:style w:type="paragraph" w:styleId="7">
    <w:name w:val="Subtitle"/>
    <w:basedOn w:val="1"/>
    <w:link w:val="15"/>
    <w:qFormat/>
    <w:uiPriority w:val="0"/>
    <w:pPr>
      <w:widowControl w:val="0"/>
    </w:pPr>
    <w:rPr>
      <w:rFonts w:ascii="Garamond" w:hAnsi="Garamond" w:eastAsia="Times New Roman"/>
      <w:b/>
      <w:snapToGrid w:val="0"/>
      <w:sz w:val="24"/>
      <w:lang w:val="zh-CN" w:eastAsia="en-US"/>
    </w:rPr>
  </w:style>
  <w:style w:type="table" w:styleId="9">
    <w:name w:val="Table Grid"/>
    <w:basedOn w:val="8"/>
    <w:qFormat/>
    <w:uiPriority w:val="59"/>
    <w:rPr>
      <w:rFonts w:ascii="Calibri" w:hAnsi="Calibr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paragraph" w:customStyle="1" w:styleId="12">
    <w:name w:val="列出段落"/>
    <w:basedOn w:val="1"/>
    <w:qFormat/>
    <w:uiPriority w:val="34"/>
    <w:pPr>
      <w:widowControl w:val="0"/>
      <w:ind w:left="720"/>
      <w:contextualSpacing/>
      <w:jc w:val="both"/>
    </w:pPr>
    <w:rPr>
      <w:rFonts w:ascii="Arial" w:hAnsi="Arial"/>
      <w:kern w:val="2"/>
      <w:sz w:val="24"/>
      <w:szCs w:val="24"/>
    </w:rPr>
  </w:style>
  <w:style w:type="character" w:customStyle="1" w:styleId="13">
    <w:name w:val="页眉 字符"/>
    <w:link w:val="6"/>
    <w:qFormat/>
    <w:uiPriority w:val="99"/>
    <w:rPr>
      <w:sz w:val="24"/>
    </w:rPr>
  </w:style>
  <w:style w:type="paragraph" w:customStyle="1" w:styleId="14">
    <w:name w:val="Default Text"/>
    <w:basedOn w:val="1"/>
    <w:qFormat/>
    <w:uiPriority w:val="0"/>
    <w:rPr>
      <w:sz w:val="24"/>
      <w:lang w:eastAsia="en-US"/>
    </w:rPr>
  </w:style>
  <w:style w:type="character" w:customStyle="1" w:styleId="15">
    <w:name w:val="副标题 字符"/>
    <w:link w:val="7"/>
    <w:qFormat/>
    <w:uiPriority w:val="0"/>
    <w:rPr>
      <w:rFonts w:ascii="Garamond" w:hAnsi="Garamond" w:eastAsia="Times New Roman"/>
      <w:b/>
      <w:snapToGrid w:val="0"/>
      <w:sz w:val="24"/>
      <w:lang w:eastAsia="en-US"/>
    </w:rPr>
  </w:style>
  <w:style w:type="paragraph" w:customStyle="1" w:styleId="16">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DFCEA8-DECD-4E6B-9A28-D829AB215EFF}">
  <ds:schemaRefs/>
</ds:datastoreItem>
</file>

<file path=docProps/app.xml><?xml version="1.0" encoding="utf-8"?>
<Properties xmlns="http://schemas.openxmlformats.org/officeDocument/2006/extended-properties" xmlns:vt="http://schemas.openxmlformats.org/officeDocument/2006/docPropsVTypes">
  <Template>Normal</Template>
  <Company>DELLNBX</Company>
  <Pages>1</Pages>
  <Words>327</Words>
  <Characters>1867</Characters>
  <Lines>15</Lines>
  <Paragraphs>4</Paragraphs>
  <TotalTime>0</TotalTime>
  <ScaleCrop>false</ScaleCrop>
  <LinksUpToDate>false</LinksUpToDate>
  <CharactersWithSpaces>2190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2021-03-01T02:31:00Z</dcterms:created>
  <dc:creator>lucy</dc:creator>
  <cp:lastModifiedBy>冯亮</cp:lastModifiedBy>
  <dcterms:modified xsi:type="dcterms:W3CDTF">2023-11-24T03:04:27Z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41D6650747874C3BA7FCD091AF280786</vt:lpwstr>
  </property>
</Properties>
</file>