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档号</w:t>
            </w:r>
            <w:r>
              <w:rPr>
                <w:b/>
                <w:sz w:val="18"/>
                <w:lang w:val="en-US"/>
              </w:rPr>
              <w:t>Policy No.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/>
                <w:szCs w:val="24"/>
                <w:lang w:val="en-US"/>
              </w:rPr>
              <w:t>SEC/SOP/</w:t>
            </w:r>
            <w:r>
              <w:rPr>
                <w:szCs w:val="24"/>
                <w:lang w:val="en-US"/>
              </w:rPr>
              <w:t>054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部门</w:t>
            </w:r>
            <w:r>
              <w:rPr>
                <w:b/>
                <w:sz w:val="18"/>
                <w:lang w:val="en-US"/>
              </w:rPr>
              <w:t>Department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 w:cs="Tahoma"/>
                <w:szCs w:val="24"/>
                <w:lang w:val="en-US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分部门</w:t>
            </w:r>
            <w:r>
              <w:rPr>
                <w:rFonts w:hint="eastAsia"/>
                <w:b/>
                <w:sz w:val="18"/>
                <w:lang w:val="en-US"/>
              </w:rPr>
              <w:t>Section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/>
                <w:szCs w:val="24"/>
                <w:lang w:val="en-U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编订</w:t>
            </w:r>
            <w:r>
              <w:rPr>
                <w:b/>
                <w:sz w:val="18"/>
                <w:lang w:val="en-US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  <w:lang w:val="en-US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发布</w:t>
            </w:r>
            <w:r>
              <w:rPr>
                <w:b/>
                <w:sz w:val="18"/>
                <w:lang w:val="en-US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总经理审批</w:t>
            </w:r>
            <w:r>
              <w:rPr>
                <w:b/>
                <w:sz w:val="18"/>
                <w:lang w:val="en-US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生效日期</w:t>
            </w:r>
            <w:r>
              <w:rPr>
                <w:b/>
                <w:sz w:val="18"/>
                <w:lang w:val="en-US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取代</w:t>
            </w:r>
            <w:r>
              <w:rPr>
                <w:b/>
                <w:sz w:val="18"/>
                <w:lang w:val="en-US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  <w:lang w:val="en-US"/>
              </w:rPr>
              <w:t>原档号：</w:t>
            </w:r>
            <w:r>
              <w:rPr>
                <w:rFonts w:hint="eastAsia"/>
                <w:szCs w:val="24"/>
                <w:lang w:val="en-US"/>
              </w:rPr>
              <w:t>SEC/P&amp;P/16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exact"/>
          <w:jc w:val="center"/>
        </w:trPr>
        <w:tc>
          <w:tcPr>
            <w:tcW w:w="10085" w:type="dxa"/>
            <w:vAlign w:val="center"/>
          </w:tcPr>
          <w:p>
            <w:pPr>
              <w:ind w:left="18" w:leftChars="9" w:right="605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tabs>
                <w:tab w:val="left" w:pos="1392"/>
              </w:tabs>
              <w:ind w:left="118" w:right="605" w:hanging="117" w:hangingChars="49"/>
              <w:rPr>
                <w:rFonts w:ascii="Tahoma" w:hAnsi="Tahoma" w:cs="Tahoma"/>
                <w:b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ascii="黑体" w:hAnsi="黑体" w:eastAsia="黑体"/>
                <w:sz w:val="24"/>
                <w:szCs w:val="24"/>
              </w:rPr>
              <w:t>Subject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:</w:t>
            </w:r>
            <w:r>
              <w:rPr>
                <w:rFonts w:eastAsia="黑体"/>
                <w:sz w:val="24"/>
                <w:szCs w:val="24"/>
              </w:rPr>
              <w:t xml:space="preserve"> </w:t>
            </w:r>
            <w:r>
              <w:rPr>
                <w:rFonts w:hint="eastAsia" w:cs="Tahoma"/>
                <w:sz w:val="24"/>
              </w:rPr>
              <w:t>异物卡喉情况处理程序</w:t>
            </w:r>
            <w:r>
              <w:rPr>
                <w:rFonts w:cs="Tahoma"/>
                <w:b/>
                <w:sz w:val="24"/>
              </w:rPr>
              <w:t xml:space="preserve"> </w:t>
            </w:r>
          </w:p>
          <w:p>
            <w:pPr>
              <w:rPr>
                <w:rFonts w:ascii="Tahoma" w:hAnsi="Tahoma" w:cs="Tahoma"/>
              </w:rPr>
            </w:pPr>
          </w:p>
          <w:p>
            <w:pPr>
              <w:ind w:left="18" w:leftChars="9" w:right="605"/>
              <w:rPr>
                <w:rFonts w:ascii="Tahoma" w:hAnsi="Tahoma" w:cs="Tahoma"/>
              </w:rPr>
            </w:pPr>
          </w:p>
          <w:p>
            <w:pPr>
              <w:rPr>
                <w:rFonts w:ascii="Tahoma" w:hAnsi="Tahoma" w:cs="Tahoma"/>
                <w:b/>
                <w:bCs/>
              </w:rPr>
            </w:pPr>
          </w:p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ind w:left="397" w:right="605" w:hanging="39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建立此项程序是为了防止在发生窒息事件时，能够有效及时的处理，以最大限度的减少客人的生命威胁，保障客人的生命安全。</w:t>
            </w:r>
          </w:p>
          <w:p>
            <w:pPr>
              <w:ind w:left="397" w:right="605"/>
              <w:rPr>
                <w:rFonts w:ascii="Tahoma" w:hAnsi="Tahoma" w:cs="Tahoma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tabs>
                <w:tab w:val="left" w:pos="498"/>
              </w:tabs>
              <w:ind w:left="356" w:leftChars="178"/>
              <w:rPr>
                <w:rFonts w:cs="Arial"/>
                <w:sz w:val="24"/>
              </w:rPr>
            </w:pPr>
          </w:p>
          <w:p>
            <w:pPr>
              <w:numPr>
                <w:ilvl w:val="0"/>
                <w:numId w:val="2"/>
              </w:numPr>
              <w:ind w:left="356" w:right="605" w:hanging="35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窒息是指当异物堵塞人体的气道或咽喉造成气流受阻时，就会发生窒息。</w:t>
            </w:r>
            <w:r>
              <w:rPr>
                <w:rFonts w:cs="Arial"/>
                <w:sz w:val="24"/>
              </w:rPr>
              <w:t>食物、异物卡喉常见于进食或口含异物时嬉笑、打闹或啼哭而发生，由于食物或异物嵌顿于声门或落入气管，造成病人窒息或严重呼吸因难，表现为突然呛咳、不能发音、喘鸣、呼吸急促、皮肤发紫，严重者可迅速出现意识丧失，甚至呼吸心跳停止。</w:t>
            </w:r>
          </w:p>
          <w:p>
            <w:pPr>
              <w:numPr>
                <w:ilvl w:val="0"/>
                <w:numId w:val="2"/>
              </w:numPr>
              <w:ind w:left="356" w:right="605" w:hanging="35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发生窒息，主要会出现以下现象： </w:t>
            </w:r>
          </w:p>
          <w:p>
            <w:pPr>
              <w:numPr>
                <w:ilvl w:val="0"/>
                <w:numId w:val="3"/>
              </w:numPr>
              <w:ind w:right="605" w:hanging="50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不能说话 </w:t>
            </w:r>
          </w:p>
          <w:p>
            <w:pPr>
              <w:numPr>
                <w:ilvl w:val="0"/>
                <w:numId w:val="3"/>
              </w:numPr>
              <w:ind w:right="605" w:hanging="50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呼吸困难，或呼吸带有杂声 </w:t>
            </w:r>
          </w:p>
          <w:p>
            <w:pPr>
              <w:numPr>
                <w:ilvl w:val="0"/>
                <w:numId w:val="3"/>
              </w:numPr>
              <w:ind w:right="605" w:hanging="50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欲用力咳嗽而咳嗽不出 </w:t>
            </w:r>
          </w:p>
          <w:p>
            <w:pPr>
              <w:numPr>
                <w:ilvl w:val="0"/>
                <w:numId w:val="3"/>
              </w:numPr>
              <w:ind w:right="605" w:hanging="50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皮肤、嘴唇和指甲发青 </w:t>
            </w:r>
          </w:p>
          <w:p>
            <w:pPr>
              <w:numPr>
                <w:ilvl w:val="0"/>
                <w:numId w:val="3"/>
              </w:numPr>
              <w:ind w:right="605" w:hanging="506"/>
              <w:rPr>
                <w:rFonts w:ascii="Tahoma" w:hAnsi="Tahoma" w:cs="Tahoma"/>
              </w:rPr>
            </w:pPr>
            <w:r>
              <w:rPr>
                <w:rFonts w:cs="Tahoma"/>
                <w:sz w:val="24"/>
              </w:rPr>
              <w:t>意识丧失</w:t>
            </w:r>
            <w:r>
              <w:rPr>
                <w:rFonts w:hint="eastAsia" w:cs="Tahoma"/>
                <w:sz w:val="24"/>
              </w:rPr>
              <w:t xml:space="preserve">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5115" w:type="pct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1</w:t>
            </w:r>
            <w:r>
              <w:rPr>
                <w:rFonts w:cs="Tahoma"/>
                <w:sz w:val="24"/>
              </w:rPr>
              <w:t>. 当发现有人发生窒息现象时，要立即通知酒店医务室，以及上级领导。</w:t>
            </w:r>
          </w:p>
          <w:p>
            <w:p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2</w:t>
            </w:r>
            <w:r>
              <w:rPr>
                <w:rFonts w:cs="Tahoma"/>
                <w:sz w:val="24"/>
              </w:rPr>
              <w:t>. 在医生到来之前，留在现场，运用自己学过的急救知识为窒息人员进行初步急救，主要做法如下：</w:t>
            </w:r>
          </w:p>
          <w:p>
            <w:pPr>
              <w:tabs>
                <w:tab w:val="left" w:pos="-1440"/>
                <w:tab w:val="left" w:pos="-720"/>
                <w:tab w:val="left" w:pos="356"/>
                <w:tab w:val="left" w:pos="498"/>
              </w:tabs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>. 海姆立克 (Heimlich) 手法</w:t>
            </w:r>
          </w:p>
          <w:p>
            <w:pPr>
              <w:tabs>
                <w:tab w:val="left" w:pos="-1440"/>
                <w:tab w:val="left" w:pos="-720"/>
                <w:tab w:val="left" w:pos="356"/>
                <w:tab w:val="left" w:pos="498"/>
              </w:tabs>
              <w:suppressAutoHyphens/>
              <w:ind w:left="561" w:right="605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3.1 应用于成人 </w:t>
            </w:r>
          </w:p>
          <w:p>
            <w:pPr>
              <w:tabs>
                <w:tab w:val="left" w:pos="-1440"/>
                <w:tab w:val="left" w:pos="-720"/>
                <w:tab w:val="left" w:pos="781"/>
                <w:tab w:val="left" w:pos="2000"/>
              </w:tabs>
              <w:suppressAutoHyphens/>
              <w:ind w:left="561" w:right="605" w:firstLine="240" w:firstLineChars="1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>.1.1抢救者站在病人背后，用两手臂环绕病人的腰部。</w:t>
            </w:r>
          </w:p>
          <w:p>
            <w:pPr>
              <w:tabs>
                <w:tab w:val="left" w:pos="-1440"/>
                <w:tab w:val="left" w:pos="-720"/>
                <w:tab w:val="left" w:pos="781"/>
                <w:tab w:val="left" w:pos="2000"/>
              </w:tabs>
              <w:suppressAutoHyphens/>
              <w:ind w:left="561" w:right="605" w:firstLine="240" w:firstLineChars="1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>.1.2 一手握拳，将拳头的拇指一侧放在病人</w:t>
            </w:r>
            <w:r>
              <w:rPr>
                <w:rFonts w:hint="eastAsia" w:cs="Arial"/>
                <w:sz w:val="24"/>
              </w:rPr>
              <w:t>胸部和</w:t>
            </w:r>
            <w:r>
              <w:rPr>
                <w:rFonts w:cs="Arial"/>
                <w:sz w:val="24"/>
              </w:rPr>
              <w:t>脐上的腹部。</w:t>
            </w:r>
          </w:p>
          <w:p>
            <w:pPr>
              <w:tabs>
                <w:tab w:val="left" w:pos="-1440"/>
                <w:tab w:val="left" w:pos="-720"/>
                <w:tab w:val="left" w:pos="781"/>
                <w:tab w:val="left" w:pos="2000"/>
              </w:tabs>
              <w:suppressAutoHyphens/>
              <w:ind w:left="561" w:right="605" w:firstLine="240" w:firstLineChars="1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>.1.3 用另一手抓住拳头、快速向上重击压迫病人的腹部。</w:t>
            </w:r>
          </w:p>
          <w:p>
            <w:pPr>
              <w:tabs>
                <w:tab w:val="left" w:pos="-1440"/>
                <w:tab w:val="left" w:pos="-720"/>
                <w:tab w:val="left" w:pos="781"/>
                <w:tab w:val="left" w:pos="2000"/>
              </w:tabs>
              <w:suppressAutoHyphens/>
              <w:ind w:left="561" w:right="605" w:firstLine="240" w:firstLineChars="1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>.1.4 重复以上手法直到异物排出。</w:t>
            </w:r>
          </w:p>
          <w:p>
            <w:pPr>
              <w:tabs>
                <w:tab w:val="left" w:pos="498"/>
              </w:tabs>
              <w:ind w:left="360"/>
              <w:rPr>
                <w:rFonts w:cs="Arial"/>
                <w:sz w:val="24"/>
              </w:rPr>
            </w:pPr>
          </w:p>
          <w:p>
            <w:pPr>
              <w:tabs>
                <w:tab w:val="left" w:pos="498"/>
              </w:tabs>
              <w:rPr>
                <w:rFonts w:cs="Arial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3240405</wp:posOffset>
                  </wp:positionH>
                  <wp:positionV relativeFrom="paragraph">
                    <wp:posOffset>57150</wp:posOffset>
                  </wp:positionV>
                  <wp:extent cx="2110740" cy="2139950"/>
                  <wp:effectExtent l="0" t="0" r="0" b="0"/>
                  <wp:wrapNone/>
                  <wp:docPr id="3" name="Picture 2" descr="http://img.webmd.com/dtmcms/live/webmd/consumer_assets/site_images/media/medical/hw/hwkb17_06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http://img.webmd.com/dtmcms/live/webmd/consumer_assets/site_images/media/medical/hw/hwkb17_06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34" r="21304" b="1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740" cy="213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Arial"/>
                <w:color w:val="000000"/>
                <w:sz w:val="24"/>
              </w:rPr>
              <w:drawing>
                <wp:inline distT="0" distB="0" distL="0" distR="0">
                  <wp:extent cx="2162175" cy="2314575"/>
                  <wp:effectExtent l="0" t="0" r="0" b="0"/>
                  <wp:docPr id="2" name="Picture 1" descr="http://img.webmd.com/dtmcms/live/webmd/consumer_assets/site_images/media/medical/hw/h55509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http://img.webmd.com/dtmcms/live/webmd/consumer_assets/site_images/media/medical/hw/h55509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31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color w:val="000000"/>
                <w:sz w:val="24"/>
              </w:rPr>
              <w:t xml:space="preserve">   </w:t>
            </w:r>
          </w:p>
          <w:p>
            <w:pPr>
              <w:tabs>
                <w:tab w:val="left" w:pos="-1440"/>
                <w:tab w:val="left" w:pos="-720"/>
                <w:tab w:val="left" w:pos="781"/>
                <w:tab w:val="left" w:pos="2000"/>
              </w:tabs>
              <w:suppressAutoHyphens/>
              <w:ind w:left="561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 xml:space="preserve">.2 应用于婴幼儿 </w:t>
            </w:r>
          </w:p>
          <w:p>
            <w:pPr>
              <w:tabs>
                <w:tab w:val="left" w:pos="-1440"/>
                <w:tab w:val="left" w:pos="-720"/>
                <w:tab w:val="left" w:pos="781"/>
                <w:tab w:val="left" w:pos="2000"/>
              </w:tabs>
              <w:suppressAutoHyphens/>
              <w:ind w:left="561" w:right="605" w:firstLine="240" w:firstLineChars="1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>.2.1 使患儿平卧，面向上，躺在坚硬的地面或床板上。</w:t>
            </w:r>
          </w:p>
          <w:p>
            <w:pPr>
              <w:tabs>
                <w:tab w:val="left" w:pos="-1440"/>
                <w:tab w:val="left" w:pos="-720"/>
                <w:tab w:val="left" w:pos="781"/>
                <w:tab w:val="left" w:pos="2000"/>
              </w:tabs>
              <w:suppressAutoHyphens/>
              <w:ind w:left="561" w:right="605" w:firstLine="240" w:firstLineChars="1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>.2.2 抢救者跪下或立于其足侧,或取坐位，并使患儿骑在抢救者的两大腿上，面朝前。</w:t>
            </w:r>
          </w:p>
          <w:p>
            <w:pPr>
              <w:tabs>
                <w:tab w:val="left" w:pos="-1440"/>
                <w:tab w:val="left" w:pos="-720"/>
                <w:tab w:val="left" w:pos="781"/>
                <w:tab w:val="left" w:pos="2000"/>
              </w:tabs>
              <w:suppressAutoHyphens/>
              <w:ind w:left="561" w:right="605" w:firstLine="240" w:firstLineChars="1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>.2.3 抢救者以两手的中指或食指，放在患儿放在</w:t>
            </w:r>
            <w:r>
              <w:rPr>
                <w:rFonts w:hint="eastAsia" w:cs="Arial"/>
                <w:sz w:val="24"/>
              </w:rPr>
              <w:t>胸部和</w:t>
            </w:r>
            <w:r>
              <w:rPr>
                <w:rFonts w:cs="Arial"/>
                <w:sz w:val="24"/>
              </w:rPr>
              <w:t>脐上的腹部</w:t>
            </w:r>
            <w:r>
              <w:rPr>
                <w:rFonts w:hint="eastAsia" w:cs="Arial"/>
                <w:sz w:val="24"/>
              </w:rPr>
              <w:t>之间</w:t>
            </w:r>
            <w:r>
              <w:rPr>
                <w:rFonts w:cs="Arial"/>
                <w:sz w:val="24"/>
              </w:rPr>
              <w:t>，快速向上重击压迫，但要很轻柔。重复之，直至异物排出。</w:t>
            </w:r>
          </w:p>
          <w:p>
            <w:pPr>
              <w:tabs>
                <w:tab w:val="left" w:pos="-1440"/>
                <w:tab w:val="left" w:pos="-720"/>
                <w:tab w:val="left" w:pos="781"/>
                <w:tab w:val="left" w:pos="2000"/>
              </w:tabs>
              <w:suppressAutoHyphens/>
              <w:ind w:left="141"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 xml:space="preserve">.3 自救 </w:t>
            </w:r>
          </w:p>
          <w:p>
            <w:pPr>
              <w:ind w:left="780" w:leftChars="390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可采用上述用于成人4个步骤的2、3、4三点，或稍稍弯下腰去，靠在一固定的水平物体上 (如桌子边缘、椅背、扶手栏杆等) ，以物体边缘压迫上腹部，快速向上冲击。重复之，直至异物排出。</w:t>
            </w:r>
          </w:p>
          <w:p>
            <w:pPr>
              <w:tabs>
                <w:tab w:val="left" w:pos="-1440"/>
                <w:tab w:val="left" w:pos="-720"/>
                <w:tab w:val="left" w:pos="781"/>
                <w:tab w:val="left" w:pos="2000"/>
              </w:tabs>
              <w:suppressAutoHyphens/>
              <w:ind w:right="605" w:firstLine="480" w:firstLineChars="2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 xml:space="preserve">.4 用于无意识的病人 </w:t>
            </w:r>
          </w:p>
          <w:p>
            <w:pPr>
              <w:ind w:left="780" w:leftChars="390" w:firstLine="1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使病人仰卧，抢救者面对病人，骑跨在病人的</w:t>
            </w:r>
            <w:r>
              <w:rPr>
                <w:rFonts w:hint="eastAsia" w:cs="Arial"/>
                <w:sz w:val="24"/>
              </w:rPr>
              <w:t>臀部，</w:t>
            </w:r>
            <w:r>
              <w:rPr>
                <w:rFonts w:cs="Arial"/>
                <w:sz w:val="24"/>
              </w:rPr>
              <w:t>用你的一手置于另一手上，放在</w:t>
            </w:r>
            <w:r>
              <w:rPr>
                <w:rFonts w:hint="eastAsia" w:cs="Arial"/>
                <w:sz w:val="24"/>
              </w:rPr>
              <w:t>胸部和</w:t>
            </w:r>
            <w:r>
              <w:rPr>
                <w:rFonts w:cs="Arial"/>
                <w:sz w:val="24"/>
              </w:rPr>
              <w:t>脐上的腹部</w:t>
            </w:r>
            <w:r>
              <w:rPr>
                <w:rFonts w:hint="eastAsia" w:cs="Arial"/>
                <w:sz w:val="24"/>
              </w:rPr>
              <w:t>之间</w:t>
            </w:r>
            <w:r>
              <w:rPr>
                <w:rFonts w:cs="Arial"/>
                <w:sz w:val="24"/>
              </w:rPr>
              <w:t>，用你的身体重量，快速冲击压迫病人的腹部，</w:t>
            </w:r>
            <w:r>
              <w:rPr>
                <w:rFonts w:hint="eastAsia" w:cs="Arial"/>
                <w:sz w:val="24"/>
              </w:rPr>
              <w:t>重复直至异物排出</w:t>
            </w:r>
            <w:r>
              <w:rPr>
                <w:rFonts w:cs="Arial"/>
                <w:sz w:val="24"/>
              </w:rPr>
              <w:t>。</w:t>
            </w:r>
          </w:p>
          <w:p>
            <w:pPr>
              <w:tabs>
                <w:tab w:val="left" w:pos="-1440"/>
                <w:tab w:val="left" w:pos="-720"/>
                <w:tab w:val="left" w:pos="781"/>
                <w:tab w:val="left" w:pos="2000"/>
              </w:tabs>
              <w:suppressAutoHyphens/>
              <w:ind w:left="561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 xml:space="preserve">.5 合并症 </w:t>
            </w:r>
          </w:p>
          <w:p>
            <w:pPr>
              <w:tabs>
                <w:tab w:val="left" w:pos="1206"/>
              </w:tabs>
              <w:ind w:left="1208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>.5.1 海姆立客手法虽卓有成效，但也可产生合并症，如：肋骨骨折、腹部或胸腔内脏破裂或撕裂，故除非必要时，一般不随便采用此法。如果患者呼吸道部分梗阻，气体交换良好，就应鼓励患者用力咳嗽，并自主呼吸；如患者呼吸微弱，咳嗽乏力或呼吸道完全梗阻，则立刻使用此手法。在使用本法成功抢救患者后应检查患者有无并发症的发生。</w:t>
            </w:r>
          </w:p>
          <w:p>
            <w:pPr>
              <w:tabs>
                <w:tab w:val="left" w:pos="1206"/>
              </w:tabs>
              <w:ind w:left="498" w:firstLine="720" w:firstLineChars="3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>.5.2 重复以上手法直到异物排出。</w:t>
            </w:r>
          </w:p>
          <w:p>
            <w:pPr>
              <w:ind w:left="496" w:leftChars="240" w:right="605" w:hanging="16" w:hangingChars="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3.6 如上述操作之后，如果异物依然滞留在气道里而且患者没有任何反应，那就要进行心脏复苏术。心脏复苏当中压迫胸腔的措施可能会使异物排出。</w:t>
            </w:r>
          </w:p>
          <w:p>
            <w:pPr>
              <w:ind w:left="8" w:leftChars="4"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4.  </w:t>
            </w:r>
            <w:r>
              <w:rPr>
                <w:rFonts w:cs="Tahoma"/>
                <w:sz w:val="24"/>
              </w:rPr>
              <w:t>酒店医生</w:t>
            </w:r>
            <w:r>
              <w:rPr>
                <w:rFonts w:hint="eastAsia" w:cs="Tahoma"/>
                <w:sz w:val="24"/>
              </w:rPr>
              <w:t>（如有）</w:t>
            </w:r>
            <w:r>
              <w:rPr>
                <w:rFonts w:cs="Tahoma"/>
                <w:sz w:val="24"/>
              </w:rPr>
              <w:t>到达后，由餐饮部经理陪同，对窒息人员进行抢救，根据实际情况，决定是否需要进一步到医院进行治疗。</w:t>
            </w:r>
          </w:p>
          <w:p>
            <w:p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5</w:t>
            </w:r>
            <w:r>
              <w:rPr>
                <w:rFonts w:cs="Tahoma"/>
                <w:sz w:val="24"/>
              </w:rPr>
              <w:t xml:space="preserve">. 保安部 </w:t>
            </w:r>
          </w:p>
          <w:p>
            <w:pPr>
              <w:ind w:right="605" w:firstLine="480" w:firstLineChars="20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5</w:t>
            </w:r>
            <w:r>
              <w:rPr>
                <w:rFonts w:cs="Tahoma"/>
                <w:sz w:val="24"/>
              </w:rPr>
              <w:t>.1安全部经理到达后，要维持现场秩序。</w:t>
            </w:r>
          </w:p>
          <w:p>
            <w:pPr>
              <w:ind w:right="605" w:firstLine="480" w:firstLineChars="2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5.2 配合医生的急救并且查明客人窒息的原因。</w:t>
            </w:r>
          </w:p>
          <w:p>
            <w:pPr>
              <w:suppressAutoHyphens/>
              <w:ind w:left="420" w:right="605"/>
              <w:rPr>
                <w:rFonts w:cs="Tahoma"/>
                <w:b/>
                <w:spacing w:val="-3"/>
                <w:sz w:val="24"/>
                <w:u w:val="single"/>
              </w:rPr>
            </w:pPr>
          </w:p>
          <w:p>
            <w:pPr>
              <w:suppressAutoHyphens/>
              <w:ind w:right="605"/>
              <w:rPr>
                <w:rFonts w:cs="Tahoma"/>
                <w:sz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6" w:usb3="00000000" w:csb0="0010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4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B334C1"/>
    <w:multiLevelType w:val="multilevel"/>
    <w:tmpl w:val="15B334C1"/>
    <w:lvl w:ilvl="0" w:tentative="0">
      <w:start w:val="1"/>
      <w:numFmt w:val="decimal"/>
      <w:lvlText w:val="%1."/>
      <w:lvlJc w:val="left"/>
      <w:pPr>
        <w:ind w:left="720" w:hanging="420"/>
      </w:pPr>
    </w:lvl>
    <w:lvl w:ilvl="1" w:tentative="0">
      <w:start w:val="1"/>
      <w:numFmt w:val="lowerLetter"/>
      <w:lvlText w:val="%2)"/>
      <w:lvlJc w:val="left"/>
      <w:pPr>
        <w:ind w:left="1140" w:hanging="420"/>
      </w:pPr>
    </w:lvl>
    <w:lvl w:ilvl="2" w:tentative="0">
      <w:start w:val="1"/>
      <w:numFmt w:val="lowerRoman"/>
      <w:lvlText w:val="%3."/>
      <w:lvlJc w:val="right"/>
      <w:pPr>
        <w:ind w:left="1560" w:hanging="420"/>
      </w:pPr>
    </w:lvl>
    <w:lvl w:ilvl="3" w:tentative="0">
      <w:start w:val="1"/>
      <w:numFmt w:val="decimal"/>
      <w:lvlText w:val="%4."/>
      <w:lvlJc w:val="left"/>
      <w:pPr>
        <w:ind w:left="1980" w:hanging="420"/>
      </w:pPr>
    </w:lvl>
    <w:lvl w:ilvl="4" w:tentative="0">
      <w:start w:val="1"/>
      <w:numFmt w:val="lowerLetter"/>
      <w:lvlText w:val="%5)"/>
      <w:lvlJc w:val="left"/>
      <w:pPr>
        <w:ind w:left="2400" w:hanging="420"/>
      </w:pPr>
    </w:lvl>
    <w:lvl w:ilvl="5" w:tentative="0">
      <w:start w:val="1"/>
      <w:numFmt w:val="lowerRoman"/>
      <w:lvlText w:val="%6."/>
      <w:lvlJc w:val="right"/>
      <w:pPr>
        <w:ind w:left="2820" w:hanging="420"/>
      </w:pPr>
    </w:lvl>
    <w:lvl w:ilvl="6" w:tentative="0">
      <w:start w:val="1"/>
      <w:numFmt w:val="decimal"/>
      <w:lvlText w:val="%7."/>
      <w:lvlJc w:val="left"/>
      <w:pPr>
        <w:ind w:left="3240" w:hanging="420"/>
      </w:pPr>
    </w:lvl>
    <w:lvl w:ilvl="7" w:tentative="0">
      <w:start w:val="1"/>
      <w:numFmt w:val="lowerLetter"/>
      <w:lvlText w:val="%8)"/>
      <w:lvlJc w:val="left"/>
      <w:pPr>
        <w:ind w:left="3660" w:hanging="420"/>
      </w:pPr>
    </w:lvl>
    <w:lvl w:ilvl="8" w:tentative="0">
      <w:start w:val="1"/>
      <w:numFmt w:val="lowerRoman"/>
      <w:lvlText w:val="%9."/>
      <w:lvlJc w:val="right"/>
      <w:pPr>
        <w:ind w:left="4080" w:hanging="420"/>
      </w:pPr>
    </w:lvl>
  </w:abstractNum>
  <w:abstractNum w:abstractNumId="1">
    <w:nsid w:val="1CC73D7D"/>
    <w:multiLevelType w:val="multilevel"/>
    <w:tmpl w:val="1CC73D7D"/>
    <w:lvl w:ilvl="0" w:tentative="0">
      <w:start w:val="1"/>
      <w:numFmt w:val="decimal"/>
      <w:lvlText w:val="%1."/>
      <w:lvlJc w:val="left"/>
      <w:pPr>
        <w:ind w:left="775" w:hanging="37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ind w:left="1285" w:hanging="46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abstractNum w:abstractNumId="2">
    <w:nsid w:val="49DB1B1B"/>
    <w:multiLevelType w:val="multilevel"/>
    <w:tmpl w:val="49DB1B1B"/>
    <w:lvl w:ilvl="0" w:tentative="0">
      <w:start w:val="1"/>
      <w:numFmt w:val="decimal"/>
      <w:lvlText w:val="2.%1"/>
      <w:lvlJc w:val="left"/>
      <w:pPr>
        <w:ind w:left="7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C481D"/>
    <w:rsid w:val="00026DD7"/>
    <w:rsid w:val="000406FE"/>
    <w:rsid w:val="00064F39"/>
    <w:rsid w:val="00076307"/>
    <w:rsid w:val="000962D8"/>
    <w:rsid w:val="000B34B2"/>
    <w:rsid w:val="000D01DB"/>
    <w:rsid w:val="001405AD"/>
    <w:rsid w:val="001413AF"/>
    <w:rsid w:val="00166D95"/>
    <w:rsid w:val="00174FA7"/>
    <w:rsid w:val="001A29A1"/>
    <w:rsid w:val="001A3E74"/>
    <w:rsid w:val="001B45FA"/>
    <w:rsid w:val="001C40B7"/>
    <w:rsid w:val="001F25CD"/>
    <w:rsid w:val="002248EE"/>
    <w:rsid w:val="00232E33"/>
    <w:rsid w:val="00276647"/>
    <w:rsid w:val="00283E94"/>
    <w:rsid w:val="002A254A"/>
    <w:rsid w:val="002D0B87"/>
    <w:rsid w:val="002D1D2B"/>
    <w:rsid w:val="002D6B1C"/>
    <w:rsid w:val="002D6DB2"/>
    <w:rsid w:val="002D7A86"/>
    <w:rsid w:val="002E0F2D"/>
    <w:rsid w:val="002F5350"/>
    <w:rsid w:val="00304B2C"/>
    <w:rsid w:val="00311BCD"/>
    <w:rsid w:val="00345AFD"/>
    <w:rsid w:val="00352E7F"/>
    <w:rsid w:val="00375140"/>
    <w:rsid w:val="003A3120"/>
    <w:rsid w:val="003A436E"/>
    <w:rsid w:val="003A7D8D"/>
    <w:rsid w:val="003B0B94"/>
    <w:rsid w:val="003C26F1"/>
    <w:rsid w:val="003D3DE5"/>
    <w:rsid w:val="003D7CD9"/>
    <w:rsid w:val="003F1619"/>
    <w:rsid w:val="00402835"/>
    <w:rsid w:val="0040289B"/>
    <w:rsid w:val="004303F4"/>
    <w:rsid w:val="00445EB4"/>
    <w:rsid w:val="00461A63"/>
    <w:rsid w:val="00490C9E"/>
    <w:rsid w:val="004A35A6"/>
    <w:rsid w:val="004A4BC0"/>
    <w:rsid w:val="004B62AB"/>
    <w:rsid w:val="004F1ED7"/>
    <w:rsid w:val="0050039F"/>
    <w:rsid w:val="00506943"/>
    <w:rsid w:val="005557F4"/>
    <w:rsid w:val="006272E6"/>
    <w:rsid w:val="00640F59"/>
    <w:rsid w:val="006421D1"/>
    <w:rsid w:val="00653637"/>
    <w:rsid w:val="00655376"/>
    <w:rsid w:val="006A138A"/>
    <w:rsid w:val="006B3168"/>
    <w:rsid w:val="006B45D9"/>
    <w:rsid w:val="006D0691"/>
    <w:rsid w:val="006D248A"/>
    <w:rsid w:val="006D4592"/>
    <w:rsid w:val="006D6D5C"/>
    <w:rsid w:val="00703FA7"/>
    <w:rsid w:val="0070476C"/>
    <w:rsid w:val="007311D6"/>
    <w:rsid w:val="007466BC"/>
    <w:rsid w:val="007639D5"/>
    <w:rsid w:val="0077297A"/>
    <w:rsid w:val="00812204"/>
    <w:rsid w:val="00837FE1"/>
    <w:rsid w:val="008571CF"/>
    <w:rsid w:val="008A22E2"/>
    <w:rsid w:val="008A61F1"/>
    <w:rsid w:val="008B37CB"/>
    <w:rsid w:val="008B73C2"/>
    <w:rsid w:val="008C5FC5"/>
    <w:rsid w:val="00946BF7"/>
    <w:rsid w:val="00955C0C"/>
    <w:rsid w:val="00962CD8"/>
    <w:rsid w:val="00972499"/>
    <w:rsid w:val="009A30DC"/>
    <w:rsid w:val="009C3032"/>
    <w:rsid w:val="009C481D"/>
    <w:rsid w:val="009D0B10"/>
    <w:rsid w:val="009F59F3"/>
    <w:rsid w:val="009F69E9"/>
    <w:rsid w:val="00A25A5B"/>
    <w:rsid w:val="00A26B93"/>
    <w:rsid w:val="00A44E10"/>
    <w:rsid w:val="00A61E75"/>
    <w:rsid w:val="00A729E1"/>
    <w:rsid w:val="00AA256C"/>
    <w:rsid w:val="00AB6623"/>
    <w:rsid w:val="00AC5C73"/>
    <w:rsid w:val="00AD72D5"/>
    <w:rsid w:val="00AE1A4F"/>
    <w:rsid w:val="00AE62AF"/>
    <w:rsid w:val="00AF0454"/>
    <w:rsid w:val="00B25212"/>
    <w:rsid w:val="00B329DF"/>
    <w:rsid w:val="00B602B4"/>
    <w:rsid w:val="00BA17B5"/>
    <w:rsid w:val="00BE5787"/>
    <w:rsid w:val="00BE7A03"/>
    <w:rsid w:val="00C01B12"/>
    <w:rsid w:val="00C0453E"/>
    <w:rsid w:val="00C277D5"/>
    <w:rsid w:val="00C40D5A"/>
    <w:rsid w:val="00C619A4"/>
    <w:rsid w:val="00C662C4"/>
    <w:rsid w:val="00C96778"/>
    <w:rsid w:val="00CD1713"/>
    <w:rsid w:val="00CF7F58"/>
    <w:rsid w:val="00D521B8"/>
    <w:rsid w:val="00D625B8"/>
    <w:rsid w:val="00D65EC6"/>
    <w:rsid w:val="00D753C6"/>
    <w:rsid w:val="00DA34E1"/>
    <w:rsid w:val="00DA5B66"/>
    <w:rsid w:val="00E03482"/>
    <w:rsid w:val="00E14CBE"/>
    <w:rsid w:val="00E326B8"/>
    <w:rsid w:val="00E43BFA"/>
    <w:rsid w:val="00E44EBF"/>
    <w:rsid w:val="00E70245"/>
    <w:rsid w:val="00E867D1"/>
    <w:rsid w:val="00E902FC"/>
    <w:rsid w:val="00EE0D3B"/>
    <w:rsid w:val="00EE4626"/>
    <w:rsid w:val="00EF029B"/>
    <w:rsid w:val="00F0003A"/>
    <w:rsid w:val="00F46EF5"/>
    <w:rsid w:val="00F47846"/>
    <w:rsid w:val="00F65605"/>
    <w:rsid w:val="00FB1F4F"/>
    <w:rsid w:val="00FF49C6"/>
    <w:rsid w:val="302A51B6"/>
    <w:rsid w:val="68B7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lock Text"/>
    <w:basedOn w:val="1"/>
    <w:qFormat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3"/>
    <w:qFormat/>
    <w:uiPriority w:val="99"/>
    <w:pPr>
      <w:tabs>
        <w:tab w:val="center" w:pos="4320"/>
        <w:tab w:val="right" w:pos="8640"/>
      </w:tabs>
    </w:pPr>
    <w:rPr>
      <w:sz w:val="24"/>
      <w:lang w:val="zh-CN"/>
    </w:rPr>
  </w:style>
  <w:style w:type="paragraph" w:styleId="7">
    <w:name w:val="Subtitle"/>
    <w:basedOn w:val="1"/>
    <w:link w:val="15"/>
    <w:qFormat/>
    <w:uiPriority w:val="0"/>
    <w:pPr>
      <w:widowControl w:val="0"/>
    </w:pPr>
    <w:rPr>
      <w:rFonts w:ascii="Garamond" w:hAnsi="Garamond" w:eastAsia="Times New Roman"/>
      <w:b/>
      <w:snapToGrid w:val="0"/>
      <w:sz w:val="24"/>
      <w:lang w:val="zh-CN" w:eastAsia="en-US"/>
    </w:rPr>
  </w:style>
  <w:style w:type="table" w:styleId="9">
    <w:name w:val="Table Grid"/>
    <w:basedOn w:val="8"/>
    <w:qFormat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page number"/>
    <w:basedOn w:val="10"/>
    <w:qFormat/>
    <w:uiPriority w:val="0"/>
  </w:style>
  <w:style w:type="paragraph" w:customStyle="1" w:styleId="12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3">
    <w:name w:val="页眉 字符"/>
    <w:link w:val="6"/>
    <w:qFormat/>
    <w:uiPriority w:val="99"/>
    <w:rPr>
      <w:sz w:val="24"/>
    </w:rPr>
  </w:style>
  <w:style w:type="paragraph" w:customStyle="1" w:styleId="14">
    <w:name w:val="Default Text"/>
    <w:basedOn w:val="1"/>
    <w:qFormat/>
    <w:uiPriority w:val="0"/>
    <w:rPr>
      <w:sz w:val="24"/>
      <w:lang w:eastAsia="en-US"/>
    </w:rPr>
  </w:style>
  <w:style w:type="character" w:customStyle="1" w:styleId="15">
    <w:name w:val="副标题 字符"/>
    <w:link w:val="7"/>
    <w:qFormat/>
    <w:uiPriority w:val="0"/>
    <w:rPr>
      <w:rFonts w:ascii="Garamond" w:hAnsi="Garamond" w:eastAsia="Times New Roman"/>
      <w:b/>
      <w:snapToGrid w:val="0"/>
      <w:sz w:val="24"/>
      <w:lang w:eastAsia="en-US"/>
    </w:rPr>
  </w:style>
  <w:style w:type="paragraph" w:customStyle="1" w:styleId="16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DFCEA8-DECD-4E6B-9A28-D829AB215E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231</Words>
  <Characters>1319</Characters>
  <Lines>10</Lines>
  <Paragraphs>3</Paragraphs>
  <TotalTime>0</TotalTime>
  <ScaleCrop>false</ScaleCrop>
  <LinksUpToDate>false</LinksUpToDate>
  <CharactersWithSpaces>1547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2021-03-01T02:12:00Z</dcterms:created>
  <dc:creator>lucy</dc:creator>
  <cp:lastModifiedBy>冯亮</cp:lastModifiedBy>
  <dcterms:modified xsi:type="dcterms:W3CDTF">2023-11-24T03:04:32Z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1D5ABDA0DC7B4E178CEBF85FA01C2D91</vt:lpwstr>
  </property>
</Properties>
</file>