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603"/>
        <w:gridCol w:w="30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政策与程序</w:t>
            </w:r>
            <w:r>
              <w:rPr>
                <w:i w:val="0"/>
                <w:color w:val="000000"/>
              </w:rPr>
              <w:t>POLICY AND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档号</w:t>
            </w:r>
            <w:r>
              <w:rPr>
                <w:b/>
                <w:sz w:val="18"/>
                <w:lang w:val="en-US"/>
              </w:rPr>
              <w:t>Policy No.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/>
                <w:szCs w:val="24"/>
                <w:lang w:val="en-US"/>
              </w:rPr>
              <w:t>SEC/SOP/</w:t>
            </w:r>
            <w:r>
              <w:rPr>
                <w:szCs w:val="24"/>
                <w:lang w:val="en-US"/>
              </w:rPr>
              <w:t>073</w:t>
            </w:r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部门</w:t>
            </w:r>
            <w:r>
              <w:rPr>
                <w:b/>
                <w:sz w:val="18"/>
                <w:lang w:val="en-US"/>
              </w:rPr>
              <w:t>Department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 w:ascii="宋体" w:hAnsi="宋体" w:cs="Tahoma"/>
                <w:szCs w:val="24"/>
                <w:lang w:val="en-US"/>
              </w:rPr>
              <w:t>保安部Security</w:t>
            </w:r>
          </w:p>
        </w:tc>
        <w:tc>
          <w:tcPr>
            <w:tcW w:w="3052" w:type="dxa"/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分部门</w:t>
            </w:r>
            <w:r>
              <w:rPr>
                <w:rFonts w:hint="eastAsia"/>
                <w:b/>
                <w:sz w:val="18"/>
                <w:lang w:val="en-US"/>
              </w:rPr>
              <w:t>Section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 w:ascii="宋体" w:hAnsi="宋体"/>
                <w:szCs w:val="24"/>
                <w:lang w:val="en-US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编订</w:t>
            </w:r>
            <w:r>
              <w:rPr>
                <w:b/>
                <w:sz w:val="18"/>
                <w:lang w:val="en-US"/>
              </w:rPr>
              <w:t>Prepared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080" r="13335" b="13970"/>
                      <wp:wrapNone/>
                      <wp:docPr id="1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FLTk5z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  <w:lang w:val="en-US"/>
              </w:rPr>
              <w:t xml:space="preserve">Signature: </w:t>
            </w:r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发布</w:t>
            </w:r>
            <w:r>
              <w:rPr>
                <w:b/>
                <w:sz w:val="18"/>
                <w:lang w:val="en-US"/>
              </w:rPr>
              <w:t>Issued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>Signature:</w:t>
            </w:r>
          </w:p>
        </w:tc>
        <w:tc>
          <w:tcPr>
            <w:tcW w:w="3052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总经理审批</w:t>
            </w:r>
            <w:r>
              <w:rPr>
                <w:b/>
                <w:sz w:val="18"/>
                <w:lang w:val="en-US"/>
              </w:rPr>
              <w:t>GM approval: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生效日期</w:t>
            </w:r>
            <w:r>
              <w:rPr>
                <w:b/>
                <w:sz w:val="18"/>
                <w:lang w:val="en-US"/>
              </w:rPr>
              <w:t xml:space="preserve">Effective Date: 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取代</w:t>
            </w:r>
            <w:r>
              <w:rPr>
                <w:b/>
                <w:sz w:val="18"/>
                <w:lang w:val="en-US"/>
              </w:rPr>
              <w:t>Supersedes: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宋体" w:hAnsi="宋体"/>
                <w:szCs w:val="24"/>
                <w:lang w:val="en-US"/>
              </w:rPr>
              <w:t>原档号：</w:t>
            </w:r>
            <w:r>
              <w:rPr>
                <w:rFonts w:hint="eastAsia"/>
                <w:szCs w:val="24"/>
                <w:lang w:val="en-US"/>
              </w:rPr>
              <w:t>N/A</w:t>
            </w:r>
          </w:p>
        </w:tc>
        <w:tc>
          <w:tcPr>
            <w:tcW w:w="3052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8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exact"/>
          <w:jc w:val="center"/>
        </w:trPr>
        <w:tc>
          <w:tcPr>
            <w:tcW w:w="10085" w:type="dxa"/>
            <w:vAlign w:val="center"/>
          </w:tcPr>
          <w:p>
            <w:pPr>
              <w:ind w:left="18" w:leftChars="9" w:right="605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tabs>
                <w:tab w:val="left" w:pos="1392"/>
              </w:tabs>
              <w:ind w:left="118" w:right="605" w:hanging="117" w:hangingChars="49"/>
              <w:rPr>
                <w:rFonts w:ascii="Tahoma" w:hAnsi="Tahoma" w:cs="Tahoma"/>
                <w:b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ascii="黑体" w:hAnsi="黑体" w:eastAsia="黑体"/>
                <w:sz w:val="24"/>
                <w:szCs w:val="24"/>
              </w:rPr>
              <w:t>Subject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:</w:t>
            </w:r>
            <w:r>
              <w:rPr>
                <w:rFonts w:hint="eastAsia" w:cs="Tahoma"/>
                <w:sz w:val="24"/>
              </w:rPr>
              <w:t xml:space="preserve"> 喷淋头爆裂的处置流程</w:t>
            </w:r>
          </w:p>
          <w:p>
            <w:pPr>
              <w:rPr>
                <w:rFonts w:ascii="Tahoma" w:hAnsi="Tahoma" w:cs="Tahoma"/>
              </w:rPr>
            </w:pPr>
          </w:p>
          <w:p>
            <w:pPr>
              <w:ind w:left="18" w:leftChars="9" w:right="605"/>
              <w:rPr>
                <w:rFonts w:ascii="Tahoma" w:hAnsi="Tahoma" w:cs="Tahoma"/>
              </w:rPr>
            </w:pPr>
          </w:p>
          <w:p>
            <w:pPr>
              <w:rPr>
                <w:rFonts w:ascii="Tahoma" w:hAnsi="Tahoma" w:cs="Tahoma"/>
                <w:b/>
                <w:bCs/>
              </w:rPr>
            </w:pPr>
          </w:p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8"/>
        <w:tblW w:w="102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  <w:jc w:val="center"/>
        </w:trPr>
        <w:tc>
          <w:tcPr>
            <w:tcW w:w="10201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numPr>
                <w:ilvl w:val="0"/>
                <w:numId w:val="1"/>
              </w:numPr>
              <w:ind w:left="397" w:right="605" w:hanging="397"/>
              <w:rPr>
                <w:rFonts w:ascii="Tahoma" w:hAnsi="Tahoma" w:cs="Tahoma"/>
              </w:rPr>
            </w:pPr>
            <w:r>
              <w:rPr>
                <w:rFonts w:hint="eastAsia" w:cs="Tahoma"/>
                <w:sz w:val="24"/>
              </w:rPr>
              <w:t>当喷淋头在未发生火灾情况下爆裂，减少酒店及客人的财产损失</w:t>
            </w:r>
            <w:r>
              <w:rPr>
                <w:rFonts w:cs="Tahoma"/>
                <w:sz w:val="24"/>
              </w:rPr>
              <w:t>。</w:t>
            </w:r>
          </w:p>
        </w:tc>
      </w:tr>
    </w:tbl>
    <w:p>
      <w:pPr>
        <w:rPr>
          <w:rFonts w:hint="eastAsia" w:ascii="新宋体" w:hAnsi="新宋体" w:eastAsia="新宋体"/>
        </w:rPr>
      </w:pPr>
    </w:p>
    <w:tbl>
      <w:tblPr>
        <w:tblStyle w:val="8"/>
        <w:tblW w:w="5301" w:type="pct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</w:trPr>
        <w:tc>
          <w:tcPr>
            <w:tcW w:w="5000" w:type="pct"/>
          </w:tcPr>
          <w:p>
            <w:pPr>
              <w:spacing w:line="460" w:lineRule="exact"/>
              <w:rPr>
                <w:rFonts w:cs="Arial"/>
                <w:sz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suppressAutoHyphens/>
              <w:ind w:right="605"/>
              <w:rPr>
                <w:rFonts w:cs="Arial"/>
                <w:sz w:val="24"/>
              </w:rPr>
            </w:pPr>
          </w:p>
          <w:p>
            <w:pPr>
              <w:numPr>
                <w:ilvl w:val="0"/>
                <w:numId w:val="2"/>
              </w:numPr>
              <w:suppressAutoHyphens/>
              <w:ind w:right="605"/>
              <w:rPr>
                <w:rFonts w:cs="Arial"/>
                <w:sz w:val="24"/>
                <w:szCs w:val="24"/>
              </w:rPr>
            </w:pPr>
            <w:r>
              <w:rPr>
                <w:rFonts w:hint="eastAsia" w:cs="Arial"/>
                <w:sz w:val="24"/>
                <w:szCs w:val="24"/>
              </w:rPr>
              <w:t>发现喷淋头爆裂时，安保人员立即到现场查看是否发生火灾，在没有发生火灾的情况下，立即组织工程人员关闭该区域喷淋阀门，打开末端放水。</w:t>
            </w:r>
          </w:p>
          <w:p>
            <w:pPr>
              <w:numPr>
                <w:ilvl w:val="0"/>
                <w:numId w:val="2"/>
              </w:numPr>
              <w:suppressAutoHyphens/>
              <w:ind w:right="605"/>
              <w:rPr>
                <w:rFonts w:cs="Arial"/>
                <w:sz w:val="24"/>
                <w:szCs w:val="24"/>
              </w:rPr>
            </w:pPr>
            <w:r>
              <w:rPr>
                <w:rFonts w:hint="eastAsia" w:cs="Arial"/>
                <w:sz w:val="24"/>
                <w:szCs w:val="24"/>
              </w:rPr>
              <w:t>就近取用消防水带，连接至最近的卫生间或机房等可以用于水流排放的场所用以引流，减少房间内的损失。在找来水带前，可先用布草将喷淋头包绕，阻止水流喷射，让其随布草下流并用工具接运水。</w:t>
            </w:r>
          </w:p>
          <w:p>
            <w:pPr>
              <w:numPr>
                <w:ilvl w:val="0"/>
                <w:numId w:val="2"/>
              </w:numPr>
              <w:suppressAutoHyphens/>
              <w:ind w:right="605"/>
              <w:rPr>
                <w:rFonts w:cs="Arial"/>
                <w:sz w:val="24"/>
                <w:szCs w:val="24"/>
              </w:rPr>
            </w:pPr>
            <w:r>
              <w:rPr>
                <w:rFonts w:hint="eastAsia" w:cs="Arial"/>
                <w:sz w:val="24"/>
                <w:szCs w:val="24"/>
              </w:rPr>
              <w:t>去水泵房看喷淋泵是否启动，如已启动则把控制柜上的转换开关放在手动，再按停止按钮即可停止。</w:t>
            </w:r>
          </w:p>
          <w:p>
            <w:pPr>
              <w:numPr>
                <w:ilvl w:val="0"/>
                <w:numId w:val="2"/>
              </w:numPr>
              <w:suppressAutoHyphens/>
              <w:ind w:right="605"/>
              <w:rPr>
                <w:sz w:val="24"/>
                <w:szCs w:val="24"/>
              </w:rPr>
            </w:pPr>
            <w:r>
              <w:rPr>
                <w:rFonts w:hint="eastAsia" w:cs="Arial"/>
                <w:sz w:val="24"/>
                <w:szCs w:val="24"/>
              </w:rPr>
              <w:t>安保部现场进行警戒，设置警示牌，提醒顾客注意安全。</w:t>
            </w:r>
          </w:p>
          <w:p>
            <w:pPr>
              <w:numPr>
                <w:ilvl w:val="0"/>
                <w:numId w:val="2"/>
              </w:numPr>
              <w:suppressAutoHyphens/>
              <w:ind w:right="605"/>
              <w:rPr>
                <w:sz w:val="24"/>
                <w:szCs w:val="24"/>
              </w:rPr>
            </w:pPr>
            <w:r>
              <w:rPr>
                <w:rFonts w:hint="eastAsia" w:cs="Arial"/>
                <w:sz w:val="24"/>
                <w:szCs w:val="24"/>
              </w:rPr>
              <w:t>待管道内水流停止后，工程部对爆裂部位进行维修，更换喷淋头。</w:t>
            </w:r>
          </w:p>
          <w:p>
            <w:pPr>
              <w:numPr>
                <w:ilvl w:val="0"/>
                <w:numId w:val="2"/>
              </w:numPr>
              <w:suppressAutoHyphens/>
              <w:ind w:right="605"/>
              <w:rPr>
                <w:sz w:val="24"/>
                <w:szCs w:val="24"/>
              </w:rPr>
            </w:pPr>
            <w:r>
              <w:rPr>
                <w:rFonts w:hint="eastAsia" w:cs="Arial"/>
                <w:sz w:val="24"/>
                <w:szCs w:val="24"/>
              </w:rPr>
              <w:t>打开该区域喷淋阀门，关闭排水阀，将水泵房控制柜上的转换开关放在自动。</w:t>
            </w:r>
          </w:p>
          <w:p>
            <w:pPr>
              <w:numPr>
                <w:ilvl w:val="0"/>
                <w:numId w:val="2"/>
              </w:numPr>
              <w:suppressAutoHyphens/>
              <w:ind w:right="605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  <w:szCs w:val="24"/>
              </w:rPr>
              <w:t>注意保护附近电线、电器、插排、开关、配电箱防止进水，及时抢救贵重物品。</w:t>
            </w: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G Times">
    <w:altName w:val="Times New Roman"/>
    <w:panose1 w:val="00000000000000000000"/>
    <w:charset w:val="00"/>
    <w:family w:val="roman"/>
    <w:pitch w:val="default"/>
    <w:sig w:usb0="00000000" w:usb1="00000000" w:usb2="00000000" w:usb3="00000000" w:csb0="00000093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drawing>
        <wp:inline distT="0" distB="0" distL="0" distR="0">
          <wp:extent cx="2847975" cy="438150"/>
          <wp:effectExtent l="0" t="0" r="0" b="0"/>
          <wp:docPr id="4" name="图片 10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0" descr="图片包含 游戏机, 画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79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D4A31E"/>
    <w:multiLevelType w:val="singleLevel"/>
    <w:tmpl w:val="F6D4A31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5B334C1"/>
    <w:multiLevelType w:val="multilevel"/>
    <w:tmpl w:val="15B334C1"/>
    <w:lvl w:ilvl="0" w:tentative="0">
      <w:start w:val="1"/>
      <w:numFmt w:val="decimal"/>
      <w:lvlText w:val="%1."/>
      <w:lvlJc w:val="left"/>
      <w:pPr>
        <w:ind w:left="720" w:hanging="420"/>
      </w:pPr>
    </w:lvl>
    <w:lvl w:ilvl="1" w:tentative="0">
      <w:start w:val="1"/>
      <w:numFmt w:val="lowerLetter"/>
      <w:lvlText w:val="%2)"/>
      <w:lvlJc w:val="left"/>
      <w:pPr>
        <w:ind w:left="1140" w:hanging="420"/>
      </w:pPr>
    </w:lvl>
    <w:lvl w:ilvl="2" w:tentative="0">
      <w:start w:val="1"/>
      <w:numFmt w:val="lowerRoman"/>
      <w:lvlText w:val="%3."/>
      <w:lvlJc w:val="right"/>
      <w:pPr>
        <w:ind w:left="1560" w:hanging="420"/>
      </w:pPr>
    </w:lvl>
    <w:lvl w:ilvl="3" w:tentative="0">
      <w:start w:val="1"/>
      <w:numFmt w:val="decimal"/>
      <w:lvlText w:val="%4."/>
      <w:lvlJc w:val="left"/>
      <w:pPr>
        <w:ind w:left="1980" w:hanging="420"/>
      </w:pPr>
    </w:lvl>
    <w:lvl w:ilvl="4" w:tentative="0">
      <w:start w:val="1"/>
      <w:numFmt w:val="lowerLetter"/>
      <w:lvlText w:val="%5)"/>
      <w:lvlJc w:val="left"/>
      <w:pPr>
        <w:ind w:left="2400" w:hanging="420"/>
      </w:pPr>
    </w:lvl>
    <w:lvl w:ilvl="5" w:tentative="0">
      <w:start w:val="1"/>
      <w:numFmt w:val="lowerRoman"/>
      <w:lvlText w:val="%6."/>
      <w:lvlJc w:val="right"/>
      <w:pPr>
        <w:ind w:left="2820" w:hanging="420"/>
      </w:pPr>
    </w:lvl>
    <w:lvl w:ilvl="6" w:tentative="0">
      <w:start w:val="1"/>
      <w:numFmt w:val="decimal"/>
      <w:lvlText w:val="%7."/>
      <w:lvlJc w:val="left"/>
      <w:pPr>
        <w:ind w:left="3240" w:hanging="420"/>
      </w:pPr>
    </w:lvl>
    <w:lvl w:ilvl="7" w:tentative="0">
      <w:start w:val="1"/>
      <w:numFmt w:val="lowerLetter"/>
      <w:lvlText w:val="%8)"/>
      <w:lvlJc w:val="left"/>
      <w:pPr>
        <w:ind w:left="3660" w:hanging="420"/>
      </w:pPr>
    </w:lvl>
    <w:lvl w:ilvl="8" w:tentative="0">
      <w:start w:val="1"/>
      <w:numFmt w:val="lowerRoman"/>
      <w:lvlText w:val="%9."/>
      <w:lvlJc w:val="right"/>
      <w:pPr>
        <w:ind w:left="40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9C481D"/>
    <w:rsid w:val="00016AB0"/>
    <w:rsid w:val="00026DD7"/>
    <w:rsid w:val="00035CB3"/>
    <w:rsid w:val="000406FE"/>
    <w:rsid w:val="00064F39"/>
    <w:rsid w:val="00070921"/>
    <w:rsid w:val="00074725"/>
    <w:rsid w:val="00076307"/>
    <w:rsid w:val="000962D8"/>
    <w:rsid w:val="000B34B2"/>
    <w:rsid w:val="000D01DB"/>
    <w:rsid w:val="001405AD"/>
    <w:rsid w:val="001413AF"/>
    <w:rsid w:val="00174FA7"/>
    <w:rsid w:val="001A29A1"/>
    <w:rsid w:val="001A3E74"/>
    <w:rsid w:val="001B45FA"/>
    <w:rsid w:val="001C40B7"/>
    <w:rsid w:val="001F25CD"/>
    <w:rsid w:val="002248EE"/>
    <w:rsid w:val="00232E33"/>
    <w:rsid w:val="00276647"/>
    <w:rsid w:val="00283E94"/>
    <w:rsid w:val="002A254A"/>
    <w:rsid w:val="002D0B87"/>
    <w:rsid w:val="002D1D2B"/>
    <w:rsid w:val="002D6B1C"/>
    <w:rsid w:val="002D6DB2"/>
    <w:rsid w:val="002D7A86"/>
    <w:rsid w:val="002E0F2D"/>
    <w:rsid w:val="002F5350"/>
    <w:rsid w:val="00304B2C"/>
    <w:rsid w:val="00311BCD"/>
    <w:rsid w:val="00345AFD"/>
    <w:rsid w:val="00352E7F"/>
    <w:rsid w:val="00375140"/>
    <w:rsid w:val="003A3120"/>
    <w:rsid w:val="003A436E"/>
    <w:rsid w:val="003A7D8D"/>
    <w:rsid w:val="003B0B94"/>
    <w:rsid w:val="003C26F1"/>
    <w:rsid w:val="003D3DE5"/>
    <w:rsid w:val="003D7CD9"/>
    <w:rsid w:val="003F1619"/>
    <w:rsid w:val="00402835"/>
    <w:rsid w:val="0040289B"/>
    <w:rsid w:val="004303F4"/>
    <w:rsid w:val="00445EB4"/>
    <w:rsid w:val="00461A63"/>
    <w:rsid w:val="00490C9E"/>
    <w:rsid w:val="004A35A6"/>
    <w:rsid w:val="004A4BC0"/>
    <w:rsid w:val="004B62AB"/>
    <w:rsid w:val="004F1ED7"/>
    <w:rsid w:val="0050039F"/>
    <w:rsid w:val="00506943"/>
    <w:rsid w:val="005557F4"/>
    <w:rsid w:val="006272E6"/>
    <w:rsid w:val="00640F59"/>
    <w:rsid w:val="006421D1"/>
    <w:rsid w:val="00653637"/>
    <w:rsid w:val="00655376"/>
    <w:rsid w:val="006A138A"/>
    <w:rsid w:val="006B3168"/>
    <w:rsid w:val="006D248A"/>
    <w:rsid w:val="006D4592"/>
    <w:rsid w:val="006D6D5C"/>
    <w:rsid w:val="00703FA7"/>
    <w:rsid w:val="0070476C"/>
    <w:rsid w:val="007311D6"/>
    <w:rsid w:val="007466BC"/>
    <w:rsid w:val="007639D5"/>
    <w:rsid w:val="0077297A"/>
    <w:rsid w:val="00812204"/>
    <w:rsid w:val="00837FE1"/>
    <w:rsid w:val="008571CF"/>
    <w:rsid w:val="008A22E2"/>
    <w:rsid w:val="008A61F1"/>
    <w:rsid w:val="008B37CB"/>
    <w:rsid w:val="008B73C2"/>
    <w:rsid w:val="008C5FC5"/>
    <w:rsid w:val="00946BF7"/>
    <w:rsid w:val="00955C0C"/>
    <w:rsid w:val="00962CD8"/>
    <w:rsid w:val="00972499"/>
    <w:rsid w:val="00982E26"/>
    <w:rsid w:val="009A30DC"/>
    <w:rsid w:val="009C3032"/>
    <w:rsid w:val="009C481D"/>
    <w:rsid w:val="009D0B10"/>
    <w:rsid w:val="009F59F3"/>
    <w:rsid w:val="009F69E9"/>
    <w:rsid w:val="00A25A5B"/>
    <w:rsid w:val="00A26B93"/>
    <w:rsid w:val="00A44E10"/>
    <w:rsid w:val="00A61E75"/>
    <w:rsid w:val="00A729E1"/>
    <w:rsid w:val="00AA256C"/>
    <w:rsid w:val="00AB6623"/>
    <w:rsid w:val="00AC5C73"/>
    <w:rsid w:val="00AD72D5"/>
    <w:rsid w:val="00AE1A4F"/>
    <w:rsid w:val="00AE62AF"/>
    <w:rsid w:val="00AF0454"/>
    <w:rsid w:val="00B25212"/>
    <w:rsid w:val="00B329DF"/>
    <w:rsid w:val="00B602B4"/>
    <w:rsid w:val="00B72599"/>
    <w:rsid w:val="00B7378B"/>
    <w:rsid w:val="00BA17B5"/>
    <w:rsid w:val="00BE5787"/>
    <w:rsid w:val="00BE7A03"/>
    <w:rsid w:val="00C01B12"/>
    <w:rsid w:val="00C0453E"/>
    <w:rsid w:val="00C277D5"/>
    <w:rsid w:val="00C40D5A"/>
    <w:rsid w:val="00C43DE1"/>
    <w:rsid w:val="00C619A4"/>
    <w:rsid w:val="00C662C4"/>
    <w:rsid w:val="00C96778"/>
    <w:rsid w:val="00CD1713"/>
    <w:rsid w:val="00CF7F58"/>
    <w:rsid w:val="00D521B8"/>
    <w:rsid w:val="00D625B8"/>
    <w:rsid w:val="00D65EC6"/>
    <w:rsid w:val="00D753C6"/>
    <w:rsid w:val="00D855B0"/>
    <w:rsid w:val="00DA34E1"/>
    <w:rsid w:val="00DA5B66"/>
    <w:rsid w:val="00E03482"/>
    <w:rsid w:val="00E14CBE"/>
    <w:rsid w:val="00E326B8"/>
    <w:rsid w:val="00E43BFA"/>
    <w:rsid w:val="00E44EBF"/>
    <w:rsid w:val="00E70245"/>
    <w:rsid w:val="00E867D1"/>
    <w:rsid w:val="00E902FC"/>
    <w:rsid w:val="00EE0D3B"/>
    <w:rsid w:val="00EE4626"/>
    <w:rsid w:val="00EF029B"/>
    <w:rsid w:val="00F0003A"/>
    <w:rsid w:val="00F46EF5"/>
    <w:rsid w:val="00F47846"/>
    <w:rsid w:val="00F65605"/>
    <w:rsid w:val="00F7292D"/>
    <w:rsid w:val="00FB1F4F"/>
    <w:rsid w:val="00FF49C6"/>
    <w:rsid w:val="0C0160D3"/>
    <w:rsid w:val="120945EA"/>
    <w:rsid w:val="221A3449"/>
    <w:rsid w:val="272004C3"/>
    <w:rsid w:val="2AF711EA"/>
    <w:rsid w:val="2D443D65"/>
    <w:rsid w:val="31CE5EF9"/>
    <w:rsid w:val="36DF1384"/>
    <w:rsid w:val="3F5252BC"/>
    <w:rsid w:val="4ED35788"/>
    <w:rsid w:val="501E3412"/>
    <w:rsid w:val="507A3728"/>
    <w:rsid w:val="524F3B13"/>
    <w:rsid w:val="61D8154E"/>
    <w:rsid w:val="61EB7842"/>
    <w:rsid w:val="62044F32"/>
    <w:rsid w:val="68846790"/>
    <w:rsid w:val="6E8D7E4B"/>
    <w:rsid w:val="701663E5"/>
    <w:rsid w:val="754F4BF5"/>
    <w:rsid w:val="77CB388D"/>
    <w:rsid w:val="783251EB"/>
    <w:rsid w:val="7F1C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lock Text"/>
    <w:basedOn w:val="1"/>
    <w:uiPriority w:val="0"/>
    <w:pPr>
      <w:tabs>
        <w:tab w:val="left" w:pos="-1440"/>
        <w:tab w:val="left" w:pos="-720"/>
        <w:tab w:val="left" w:pos="1200"/>
        <w:tab w:val="left" w:pos="1440"/>
      </w:tabs>
      <w:suppressAutoHyphens/>
      <w:spacing w:line="228" w:lineRule="auto"/>
      <w:ind w:left="1200" w:right="605" w:hanging="800"/>
      <w:jc w:val="both"/>
    </w:pPr>
    <w:rPr>
      <w:rFonts w:ascii="CG Times" w:hAnsi="CG Times" w:eastAsia="PMingLiU"/>
      <w:spacing w:val="-3"/>
      <w:sz w:val="24"/>
      <w:lang w:eastAsia="en-US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4"/>
    <w:uiPriority w:val="99"/>
    <w:pPr>
      <w:tabs>
        <w:tab w:val="center" w:pos="4320"/>
        <w:tab w:val="right" w:pos="8640"/>
      </w:tabs>
    </w:pPr>
    <w:rPr>
      <w:sz w:val="24"/>
      <w:lang w:val="zh-CN"/>
    </w:rPr>
  </w:style>
  <w:style w:type="paragraph" w:styleId="7">
    <w:name w:val="Subtitle"/>
    <w:basedOn w:val="1"/>
    <w:link w:val="16"/>
    <w:qFormat/>
    <w:uiPriority w:val="0"/>
    <w:pPr>
      <w:widowControl w:val="0"/>
    </w:pPr>
    <w:rPr>
      <w:rFonts w:ascii="Garamond" w:hAnsi="Garamond" w:eastAsia="Times New Roman"/>
      <w:b/>
      <w:snapToGrid w:val="0"/>
      <w:sz w:val="24"/>
      <w:lang w:val="zh-CN" w:eastAsia="en-US"/>
    </w:rPr>
  </w:style>
  <w:style w:type="table" w:styleId="9">
    <w:name w:val="Table Grid"/>
    <w:basedOn w:val="8"/>
    <w:uiPriority w:val="59"/>
    <w:rPr>
      <w:rFonts w:ascii="Calibri" w:hAnsi="Calibri"/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page number"/>
    <w:basedOn w:val="10"/>
    <w:uiPriority w:val="0"/>
  </w:style>
  <w:style w:type="paragraph" w:customStyle="1" w:styleId="13">
    <w:name w:val="列出段落"/>
    <w:basedOn w:val="1"/>
    <w:qFormat/>
    <w:uiPriority w:val="34"/>
    <w:pPr>
      <w:widowControl w:val="0"/>
      <w:ind w:left="720"/>
      <w:contextualSpacing/>
      <w:jc w:val="both"/>
    </w:pPr>
    <w:rPr>
      <w:rFonts w:ascii="Arial" w:hAnsi="Arial"/>
      <w:kern w:val="2"/>
      <w:sz w:val="24"/>
      <w:szCs w:val="24"/>
    </w:rPr>
  </w:style>
  <w:style w:type="character" w:customStyle="1" w:styleId="14">
    <w:name w:val="页眉 字符"/>
    <w:link w:val="6"/>
    <w:qFormat/>
    <w:uiPriority w:val="99"/>
    <w:rPr>
      <w:sz w:val="24"/>
    </w:rPr>
  </w:style>
  <w:style w:type="paragraph" w:customStyle="1" w:styleId="15">
    <w:name w:val="Default Text"/>
    <w:basedOn w:val="1"/>
    <w:qFormat/>
    <w:uiPriority w:val="0"/>
    <w:rPr>
      <w:sz w:val="24"/>
      <w:lang w:eastAsia="en-US"/>
    </w:rPr>
  </w:style>
  <w:style w:type="character" w:customStyle="1" w:styleId="16">
    <w:name w:val="副标题 字符"/>
    <w:link w:val="7"/>
    <w:qFormat/>
    <w:uiPriority w:val="0"/>
    <w:rPr>
      <w:rFonts w:ascii="Garamond" w:hAnsi="Garamond" w:eastAsia="Times New Roman"/>
      <w:b/>
      <w:snapToGrid w:val="0"/>
      <w:sz w:val="24"/>
      <w:lang w:eastAsia="en-US"/>
    </w:rPr>
  </w:style>
  <w:style w:type="paragraph" w:customStyle="1" w:styleId="17">
    <w:name w:val="Default"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EDFCEA8-DECD-4E6B-9A28-D829AB215EF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1</Pages>
  <Words>101</Words>
  <Characters>577</Characters>
  <Lines>4</Lines>
  <Paragraphs>1</Paragraphs>
  <TotalTime>0</TotalTime>
  <ScaleCrop>false</ScaleCrop>
  <LinksUpToDate>false</LinksUpToDate>
  <CharactersWithSpaces>677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2022-10-20T09:32:00Z</dcterms:created>
  <dc:creator>lucy</dc:creator>
  <cp:lastModifiedBy>冯亮</cp:lastModifiedBy>
  <dcterms:modified xsi:type="dcterms:W3CDTF">2023-11-24T03:06:31Z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B1256F8619C646108D5B0C11A70A462A</vt:lpwstr>
  </property>
</Properties>
</file>