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603"/>
        <w:gridCol w:w="30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政策与程序</w:t>
            </w:r>
            <w:r>
              <w:rPr>
                <w:i w:val="0"/>
                <w:color w:val="000000"/>
              </w:rPr>
              <w:t>POLICY AND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档号</w:t>
            </w:r>
            <w:r>
              <w:rPr>
                <w:b/>
                <w:sz w:val="18"/>
                <w:lang w:val="en-US"/>
              </w:rPr>
              <w:t>Policy No.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/>
                <w:szCs w:val="24"/>
                <w:lang w:val="en-US"/>
              </w:rPr>
              <w:t>SEC/SOP/</w:t>
            </w:r>
            <w:r>
              <w:rPr>
                <w:szCs w:val="24"/>
                <w:lang w:val="en-US"/>
              </w:rPr>
              <w:t>074</w:t>
            </w:r>
          </w:p>
        </w:tc>
        <w:tc>
          <w:tcPr>
            <w:tcW w:w="3603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部门</w:t>
            </w:r>
            <w:r>
              <w:rPr>
                <w:b/>
                <w:sz w:val="18"/>
                <w:lang w:val="en-US"/>
              </w:rPr>
              <w:t>Department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 w:ascii="宋体" w:hAnsi="宋体" w:cs="Tahoma"/>
                <w:szCs w:val="24"/>
                <w:lang w:val="en-US"/>
              </w:rPr>
              <w:t>保安部Security</w:t>
            </w:r>
          </w:p>
        </w:tc>
        <w:tc>
          <w:tcPr>
            <w:tcW w:w="3052" w:type="dxa"/>
            <w:vAlign w:val="center"/>
          </w:tcPr>
          <w:p>
            <w:pPr>
              <w:pStyle w:val="6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分部门</w:t>
            </w:r>
            <w:r>
              <w:rPr>
                <w:rFonts w:hint="eastAsia"/>
                <w:b/>
                <w:sz w:val="18"/>
                <w:lang w:val="en-US"/>
              </w:rPr>
              <w:t>Section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 w:ascii="宋体" w:hAnsi="宋体"/>
                <w:szCs w:val="24"/>
                <w:lang w:val="en-US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编订</w:t>
            </w:r>
            <w:r>
              <w:rPr>
                <w:b/>
                <w:sz w:val="18"/>
                <w:lang w:val="en-US"/>
              </w:rPr>
              <w:t>Prepared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44450</wp:posOffset>
                      </wp:positionV>
                      <wp:extent cx="0" cy="0"/>
                      <wp:effectExtent l="5715" t="5080" r="13335" b="13970"/>
                      <wp:wrapNone/>
                      <wp:docPr id="1" name="Lin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2" o:spid="_x0000_s1026" o:spt="20" style="position:absolute;left:0pt;margin-left:36pt;margin-top:3.5pt;height:0pt;width:0pt;z-index:251659264;mso-width-relative:page;mso-height-relative:page;" filled="f" stroked="t" coordsize="21600,21600" o:allowincell="f" o:gfxdata="UEsDBAoAAAAAAIdO4kAAAAAAAAAAAAAAAAAEAAAAZHJzL1BLAwQUAAAACACHTuJAh0GxSdAAAAAF&#10;AQAADwAAAGRycy9kb3ducmV2LnhtbE2PzU7DMBCE70i8g7VIXCpqN5UAhTg9tOTGhVLEdRsvSUS8&#10;TmP3B56+Sy9wGo1mNftNsTj5Xh1ojF1gC7OpAUVcB9dxY2HzVt09gooJ2WEfmCx8U4RFeX1VYO7C&#10;kV/psE6NkhKOOVpoUxpyrWPdksc4DQOxZJ9h9JjEjo12Ix6l3Pc6M+Zee+xYPrQ40LKl+mu99xZi&#10;9U676mdST8zHvAmU7VYvz2jt7c3MPIFKdEp/x/CLL+hQCtM27NlF1Vt4yGRKEhWR+GK3F6vLQv+n&#10;L89QSwMEFAAAAAgAh07iQFLTk5zBAQAAmQMAAA4AAABkcnMvZTJvRG9jLnhtbK1TwW7bMAy9D9g/&#10;CLovTgJ02Iw4PSRoL9kWoN0HKJJsC5VEQVRi5+9HyUnWdpce5oMgiuQj3yO9uh+dZScd0YBv+GI2&#10;50x7Ccr4ruG/nx++fOMMk/BKWPC64WeN/H79+dNqCLVeQg9W6cgIxGM9hIb3KYW6qlD22gmcQdCe&#10;nC1EJxKZsatUFAOhO1st5/Ov1QBRhQhSI9LrdnLyC2L8CCC0rZF6C/LotE8TatRWJKKEvQnI16Xb&#10;ttUy/Wpb1InZhhPTVE4qQvdDPqv1StRdFKE38tKC+EgL7zg5YTwVvUFtRRLsGM0/UM7ICAhtmklw&#10;1USkKEIsFvN32jz1IujChaTGcBMd/x+s/HnaR2YUbQJnXjga+M54zZZZmSFgTQEbv4+Zmxz9U9iB&#10;fEHmYdML3+nS4fM5UNoiZ1RvUrKBgfAPww9QFCOOCYpMYxtdhiQB2Fimcb5NQ4+JyelRXl8rUV9T&#10;QsT0qMGxfGm4pW4LpDjtMOUWRH0NyRU8PBhry5itZ0PDv98t70oCgjUqO3MYxu6wsZGdRF6U8hU+&#10;5HkdFuHo1VTE+gvdzHDS6gDqvI9XGWhipZvLduWVeG2X7L9/1Po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0GxSdAAAAAFAQAADwAAAAAAAAABACAAAAAiAAAAZHJzL2Rvd25yZXYueG1sUEsBAhQA&#10;FAAAAAgAh07iQFLTk5zBAQAAmQMAAA4AAAAAAAAAAQAgAAAAHwEAAGRycy9lMm9Eb2MueG1sUEsF&#10;BgAAAAAGAAYAWQEAAFI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6"/>
                <w:lang w:val="en-US"/>
              </w:rPr>
              <w:t xml:space="preserve">Signature: </w:t>
            </w:r>
          </w:p>
        </w:tc>
        <w:tc>
          <w:tcPr>
            <w:tcW w:w="3603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发布</w:t>
            </w:r>
            <w:r>
              <w:rPr>
                <w:b/>
                <w:sz w:val="18"/>
                <w:lang w:val="en-US"/>
              </w:rPr>
              <w:t>Issued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16"/>
                <w:lang w:val="en-US"/>
              </w:rPr>
              <w:t>Signature:</w:t>
            </w:r>
          </w:p>
        </w:tc>
        <w:tc>
          <w:tcPr>
            <w:tcW w:w="3052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总经理审批</w:t>
            </w:r>
            <w:r>
              <w:rPr>
                <w:b/>
                <w:sz w:val="18"/>
                <w:lang w:val="en-US"/>
              </w:rPr>
              <w:t>GM approval: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16"/>
                <w:lang w:val="en-US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生效日期</w:t>
            </w:r>
            <w:r>
              <w:rPr>
                <w:b/>
                <w:sz w:val="18"/>
                <w:lang w:val="en-US"/>
              </w:rPr>
              <w:t xml:space="preserve">Effective Date: 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1" w:name="_GoBack"/>
            <w:bookmarkEnd w:id="1"/>
          </w:p>
        </w:tc>
        <w:tc>
          <w:tcPr>
            <w:tcW w:w="3603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取代</w:t>
            </w:r>
            <w:r>
              <w:rPr>
                <w:b/>
                <w:sz w:val="18"/>
                <w:lang w:val="en-US"/>
              </w:rPr>
              <w:t>Supersedes: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宋体" w:hAnsi="宋体"/>
                <w:szCs w:val="24"/>
                <w:lang w:val="en-US"/>
              </w:rPr>
              <w:t>原档号：</w:t>
            </w:r>
            <w:r>
              <w:rPr>
                <w:rFonts w:hint="eastAsia"/>
                <w:szCs w:val="24"/>
                <w:lang w:val="en-US"/>
              </w:rPr>
              <w:t>N/A</w:t>
            </w:r>
          </w:p>
        </w:tc>
        <w:tc>
          <w:tcPr>
            <w:tcW w:w="3052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8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exact"/>
          <w:jc w:val="center"/>
        </w:trPr>
        <w:tc>
          <w:tcPr>
            <w:tcW w:w="10085" w:type="dxa"/>
            <w:vAlign w:val="center"/>
          </w:tcPr>
          <w:p>
            <w:pPr>
              <w:ind w:left="18" w:leftChars="9" w:right="605"/>
              <w:rPr>
                <w:rFonts w:ascii="黑体" w:hAnsi="黑体" w:eastAsia="黑体"/>
                <w:sz w:val="24"/>
                <w:szCs w:val="24"/>
              </w:rPr>
            </w:pPr>
          </w:p>
          <w:p>
            <w:pPr>
              <w:tabs>
                <w:tab w:val="left" w:pos="1392"/>
              </w:tabs>
              <w:ind w:left="118" w:right="605" w:hanging="117" w:hangingChars="49"/>
              <w:rPr>
                <w:rFonts w:ascii="Tahoma" w:hAnsi="Tahoma" w:cs="Tahoma"/>
                <w:b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ascii="黑体" w:hAnsi="黑体" w:eastAsia="黑体"/>
                <w:sz w:val="24"/>
                <w:szCs w:val="24"/>
              </w:rPr>
              <w:t>Subject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:</w:t>
            </w:r>
            <w:r>
              <w:rPr>
                <w:rFonts w:hint="eastAsia" w:cs="Tahoma"/>
                <w:sz w:val="24"/>
              </w:rPr>
              <w:t xml:space="preserve"> 自动体外除颤器(AED)操作程序</w:t>
            </w:r>
          </w:p>
          <w:p>
            <w:pPr>
              <w:rPr>
                <w:rFonts w:ascii="Tahoma" w:hAnsi="Tahoma" w:cs="Tahoma"/>
              </w:rPr>
            </w:pPr>
          </w:p>
          <w:p>
            <w:pPr>
              <w:ind w:left="18" w:leftChars="9" w:right="605"/>
              <w:rPr>
                <w:rFonts w:ascii="Tahoma" w:hAnsi="Tahoma" w:cs="Tahoma"/>
              </w:rPr>
            </w:pPr>
          </w:p>
          <w:p>
            <w:pPr>
              <w:rPr>
                <w:rFonts w:ascii="Tahoma" w:hAnsi="Tahoma" w:cs="Tahoma"/>
                <w:b/>
                <w:bCs/>
              </w:rPr>
            </w:pPr>
          </w:p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8"/>
        <w:tblW w:w="102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  <w:jc w:val="center"/>
        </w:trPr>
        <w:tc>
          <w:tcPr>
            <w:tcW w:w="10201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numPr>
                <w:ilvl w:val="0"/>
                <w:numId w:val="1"/>
              </w:numPr>
              <w:ind w:left="397" w:right="605" w:hanging="397"/>
              <w:rPr>
                <w:rFonts w:ascii="Tahoma" w:hAnsi="Tahoma" w:cs="Tahoma"/>
              </w:rPr>
            </w:pPr>
            <w:r>
              <w:rPr>
                <w:rFonts w:hint="eastAsia" w:cs="Tahoma"/>
                <w:sz w:val="24"/>
              </w:rPr>
              <w:t>自动体外除颤器(以下简称AED)，是一种在救护车赶到前，用于患者心跳骤停后的早期除颤，通过适当电击， 终止恶性心律失常（室颤），使心脏能够恢复正常的节律。达到挽救猝死病人生命的目的</w:t>
            </w:r>
            <w:r>
              <w:rPr>
                <w:rFonts w:cs="Tahoma"/>
                <w:sz w:val="24"/>
              </w:rPr>
              <w:t>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8"/>
        <w:tblW w:w="10297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97" w:type="dxa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bookmarkStart w:id="0" w:name="_Hlk65487451"/>
            <w:r>
              <w:rPr>
                <w:rFonts w:hint="eastAsia" w:ascii="黑体" w:hAnsi="黑体" w:eastAsia="黑体"/>
                <w:sz w:val="24"/>
                <w:szCs w:val="24"/>
              </w:rPr>
              <w:t>制度</w:t>
            </w:r>
            <w:r>
              <w:rPr>
                <w:sz w:val="28"/>
                <w:szCs w:val="28"/>
              </w:rPr>
              <w:t>Po</w:t>
            </w:r>
            <w:r>
              <w:rPr>
                <w:rFonts w:hint="eastAsia"/>
                <w:sz w:val="28"/>
                <w:szCs w:val="28"/>
              </w:rPr>
              <w:t>licy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tabs>
                <w:tab w:val="left" w:pos="498"/>
              </w:tabs>
              <w:ind w:left="356" w:leftChars="178"/>
              <w:rPr>
                <w:rFonts w:cs="Arial"/>
                <w:sz w:val="24"/>
              </w:rPr>
            </w:pPr>
          </w:p>
          <w:p>
            <w:pPr>
              <w:numPr>
                <w:ilvl w:val="0"/>
                <w:numId w:val="2"/>
              </w:numPr>
              <w:ind w:left="356" w:right="605" w:hanging="356"/>
              <w:rPr>
                <w:rFonts w:cs="Tahoma"/>
                <w:sz w:val="24"/>
              </w:rPr>
            </w:pPr>
            <w:r>
              <w:rPr>
                <w:rFonts w:hint="eastAsia" w:cs="Arial"/>
                <w:sz w:val="24"/>
              </w:rPr>
              <w:t>实施对象突然出现因为恶性心律失常，而发生心源性猝死的一类患者。</w:t>
            </w:r>
          </w:p>
          <w:p>
            <w:pPr>
              <w:numPr>
                <w:ilvl w:val="0"/>
                <w:numId w:val="2"/>
              </w:numPr>
              <w:ind w:left="356" w:right="605" w:hanging="356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实施AED急救操作的操作者最好是受过急救培训，如果没有接受过急救培训，可以按照AED的提示音操作或者在医务人员的指导下操作。值得注意的是，普通人使用AED救人也是合法合规的。</w:t>
            </w:r>
          </w:p>
          <w:p>
            <w:pPr>
              <w:ind w:right="605"/>
              <w:rPr>
                <w:rFonts w:cs="Tahoma"/>
                <w:sz w:val="24"/>
              </w:rPr>
            </w:pPr>
          </w:p>
        </w:tc>
      </w:tr>
      <w:bookmarkEnd w:id="0"/>
    </w:tbl>
    <w:p>
      <w:pPr>
        <w:rPr>
          <w:rFonts w:ascii="新宋体" w:hAnsi="新宋体" w:eastAsia="新宋体"/>
        </w:rPr>
      </w:pPr>
    </w:p>
    <w:tbl>
      <w:tblPr>
        <w:tblStyle w:val="8"/>
        <w:tblW w:w="5301" w:type="pct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5" w:hRule="atLeast"/>
        </w:trPr>
        <w:tc>
          <w:tcPr>
            <w:tcW w:w="5000" w:type="pct"/>
          </w:tcPr>
          <w:p>
            <w:pPr>
              <w:spacing w:line="460" w:lineRule="exact"/>
              <w:rPr>
                <w:rFonts w:cs="Arial"/>
                <w:sz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suppressAutoHyphens/>
              <w:ind w:right="605"/>
              <w:rPr>
                <w:rFonts w:cs="Arial"/>
                <w:sz w:val="24"/>
              </w:rPr>
            </w:pPr>
          </w:p>
          <w:p>
            <w:pPr>
              <w:suppressAutoHyphens/>
              <w:ind w:right="605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1</w:t>
            </w:r>
            <w:r>
              <w:rPr>
                <w:rFonts w:cs="Arial"/>
                <w:sz w:val="24"/>
              </w:rPr>
              <w:t xml:space="preserve">. </w:t>
            </w:r>
            <w:r>
              <w:rPr>
                <w:rFonts w:hint="eastAsia" w:cs="Arial"/>
                <w:sz w:val="24"/>
              </w:rPr>
              <w:t>使用AED除颤仪前。</w:t>
            </w:r>
          </w:p>
          <w:p>
            <w:pPr>
              <w:suppressAutoHyphens/>
              <w:ind w:left="464" w:leftChars="232" w:right="605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1</w:t>
            </w:r>
            <w:r>
              <w:rPr>
                <w:rFonts w:cs="Arial"/>
                <w:sz w:val="24"/>
              </w:rPr>
              <w:t xml:space="preserve">.1 </w:t>
            </w:r>
            <w:r>
              <w:rPr>
                <w:rFonts w:hint="eastAsia" w:cs="Arial"/>
                <w:sz w:val="24"/>
              </w:rPr>
              <w:t>对病人进行大声呼叫、不停拍打其肩膀，确认病人是否还有意识；</w:t>
            </w:r>
          </w:p>
          <w:p>
            <w:pPr>
              <w:suppressAutoHyphens/>
              <w:ind w:left="464" w:leftChars="232" w:right="605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1</w:t>
            </w:r>
            <w:r>
              <w:rPr>
                <w:rFonts w:cs="Arial"/>
                <w:sz w:val="24"/>
              </w:rPr>
              <w:t xml:space="preserve">.2 </w:t>
            </w:r>
            <w:r>
              <w:rPr>
                <w:rFonts w:hint="eastAsia" w:cs="Arial"/>
                <w:sz w:val="24"/>
              </w:rPr>
              <w:t>如果病人没有反应，立刻拨打120，大声呼叫请附近的人寻找到最近的AED除颤仪；</w:t>
            </w:r>
          </w:p>
          <w:p>
            <w:pPr>
              <w:suppressAutoHyphens/>
              <w:ind w:right="605" w:firstLine="480" w:firstLineChars="200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1</w:t>
            </w:r>
            <w:r>
              <w:rPr>
                <w:rFonts w:cs="Arial"/>
                <w:sz w:val="24"/>
              </w:rPr>
              <w:t xml:space="preserve">.3 </w:t>
            </w:r>
            <w:r>
              <w:rPr>
                <w:rFonts w:hint="eastAsia" w:cs="Arial"/>
                <w:sz w:val="24"/>
              </w:rPr>
              <w:t>检查病人胸部和腹部是否有呼吸的动作。如果没有呼吸或呼吸不正常，立即心肺复苏。</w:t>
            </w:r>
          </w:p>
          <w:p>
            <w:pPr>
              <w:suppressAutoHyphens/>
              <w:ind w:right="605"/>
              <w:rPr>
                <w:rFonts w:cs="Arial"/>
                <w:sz w:val="24"/>
              </w:rPr>
            </w:pPr>
          </w:p>
          <w:p>
            <w:pPr>
              <w:suppressAutoHyphens/>
              <w:ind w:right="605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2</w:t>
            </w:r>
            <w:r>
              <w:rPr>
                <w:rFonts w:cs="Arial"/>
                <w:sz w:val="24"/>
              </w:rPr>
              <w:t xml:space="preserve">. </w:t>
            </w:r>
            <w:r>
              <w:rPr>
                <w:rFonts w:hint="eastAsia" w:cs="Arial"/>
                <w:sz w:val="24"/>
              </w:rPr>
              <w:t>使用AED除颤仪时</w:t>
            </w:r>
          </w:p>
          <w:p>
            <w:pPr>
              <w:suppressAutoHyphens/>
              <w:ind w:right="605" w:firstLine="480" w:firstLineChars="200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2.1 露出病人胸部并按照指示贴上电极垫（在贴电击垫之前，需要确保病人身体干燥、身上无任何金属物，若病人胸部剃毛较多，需先剔除；确保病人周边环境无水）；</w:t>
            </w:r>
          </w:p>
          <w:p>
            <w:pPr>
              <w:suppressAutoHyphens/>
              <w:ind w:right="605" w:firstLine="480" w:firstLineChars="200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2.2 让其他人远离病人，根据AED除颤仪的语音指令操作。按下AED除颤仪分析键，对病人进行心电图分析。等待AED除颤仪报告是否需要进行电击（如不需要可能病人已恢复脉搏或心律）；</w:t>
            </w:r>
          </w:p>
          <w:p>
            <w:pPr>
              <w:suppressAutoHyphens/>
              <w:ind w:right="605" w:firstLine="480" w:firstLineChars="200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2.3 AED除颤仪指示需要电击时，确保没有人碰到病人身体；按下按钮进行电击；</w:t>
            </w:r>
          </w:p>
          <w:p>
            <w:pPr>
              <w:suppressAutoHyphens/>
              <w:ind w:right="605" w:firstLine="480" w:firstLineChars="200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2.4 电击后，在连接着AED除颤仪电极贴的情况下立即重新进行心肺复苏；</w:t>
            </w:r>
          </w:p>
          <w:p>
            <w:pPr>
              <w:suppressAutoHyphens/>
              <w:ind w:right="605" w:firstLine="480" w:firstLineChars="200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2.5 2分钟后，AED除颤仪自动确定是否再次施加电击，按语音指令操作；等待救护车到达。</w:t>
            </w:r>
          </w:p>
          <w:p>
            <w:pPr>
              <w:suppressAutoHyphens/>
              <w:ind w:right="605"/>
              <w:rPr>
                <w:rFonts w:cs="Arial"/>
                <w:sz w:val="24"/>
              </w:rPr>
            </w:pPr>
          </w:p>
          <w:p>
            <w:pPr>
              <w:suppressAutoHyphens/>
              <w:ind w:right="605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3. 注意事项</w:t>
            </w:r>
          </w:p>
          <w:p>
            <w:pPr>
              <w:suppressAutoHyphens/>
              <w:ind w:right="605" w:firstLine="480" w:firstLineChars="200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3.1 在AED分析患者心率时不要触碰患者，以免分析不准确耽误救援时间；</w:t>
            </w:r>
          </w:p>
          <w:p>
            <w:pPr>
              <w:suppressAutoHyphens/>
              <w:ind w:right="605" w:firstLine="480" w:firstLineChars="200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3.2 在充电放电环节要远离患者不要触碰患者，避免受伤。</w:t>
            </w:r>
          </w:p>
          <w:p>
            <w:pPr>
              <w:suppressAutoHyphens/>
              <w:ind w:right="605"/>
              <w:rPr>
                <w:rFonts w:cs="Arial"/>
                <w:sz w:val="24"/>
              </w:rPr>
            </w:pPr>
          </w:p>
          <w:p>
            <w:pPr>
              <w:suppressAutoHyphens/>
              <w:ind w:right="605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4. 解释</w:t>
            </w:r>
          </w:p>
          <w:p>
            <w:pPr>
              <w:suppressAutoHyphens/>
              <w:ind w:right="605" w:firstLine="480" w:firstLineChars="200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4.1 AED，是可被非专业人员使用的用于抢救心脏骤停患者的医疗设备。</w:t>
            </w:r>
          </w:p>
          <w:p>
            <w:pPr>
              <w:suppressAutoHyphens/>
              <w:ind w:right="605" w:firstLine="480" w:firstLineChars="200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4.2 心肺复苏不能替代AED。心脏骤停患者，早期有85%至90%是因为心室颤动。心肺复苏只能暂时帮助建立循环，满足周围器官的供血。但是它并没有从本质上改变室颤。只有靠AED放电除颤，才能瞬间打断心脏颤动的节奏，让心跳恢复正常。</w:t>
            </w:r>
          </w:p>
          <w:p>
            <w:pPr>
              <w:suppressAutoHyphens/>
              <w:ind w:right="605" w:firstLine="480" w:firstLineChars="200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4.3 使用AED和进行心肺复苏的关系不是二选一，而是通力配合。正确的心肺复苏操作将为患者赢得宝贵的抢救机会。</w:t>
            </w:r>
          </w:p>
          <w:p>
            <w:pPr>
              <w:suppressAutoHyphens/>
              <w:ind w:right="605" w:firstLine="480" w:firstLineChars="200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4.4 没有拿到AED之前，要持续进行心肺复苏。如果有AED，则优先使用AED，再进行心肺复苏。</w:t>
            </w:r>
          </w:p>
          <w:p>
            <w:pPr>
              <w:suppressAutoHyphens/>
              <w:ind w:right="605"/>
              <w:rPr>
                <w:rFonts w:cs="Arial"/>
                <w:sz w:val="24"/>
              </w:rPr>
            </w:pPr>
          </w:p>
        </w:tc>
      </w:tr>
    </w:tbl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2045" w:right="1134" w:bottom="1246" w:left="1134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G Times">
    <w:altName w:val="Times New Roman"/>
    <w:panose1 w:val="00000000000000000000"/>
    <w:charset w:val="00"/>
    <w:family w:val="roman"/>
    <w:pitch w:val="default"/>
    <w:sig w:usb0="00000000" w:usb1="00000000" w:usb2="00000000" w:usb3="00000000" w:csb0="00000093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drawing>
        <wp:inline distT="0" distB="0" distL="0" distR="0">
          <wp:extent cx="2847975" cy="438150"/>
          <wp:effectExtent l="0" t="0" r="0" b="0"/>
          <wp:docPr id="4" name="图片 10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0" descr="图片包含 游戏机, 画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79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B334C1"/>
    <w:multiLevelType w:val="multilevel"/>
    <w:tmpl w:val="15B334C1"/>
    <w:lvl w:ilvl="0" w:tentative="0">
      <w:start w:val="1"/>
      <w:numFmt w:val="decimal"/>
      <w:lvlText w:val="%1."/>
      <w:lvlJc w:val="left"/>
      <w:pPr>
        <w:ind w:left="720" w:hanging="420"/>
      </w:pPr>
    </w:lvl>
    <w:lvl w:ilvl="1" w:tentative="0">
      <w:start w:val="1"/>
      <w:numFmt w:val="lowerLetter"/>
      <w:lvlText w:val="%2)"/>
      <w:lvlJc w:val="left"/>
      <w:pPr>
        <w:ind w:left="1140" w:hanging="420"/>
      </w:pPr>
    </w:lvl>
    <w:lvl w:ilvl="2" w:tentative="0">
      <w:start w:val="1"/>
      <w:numFmt w:val="lowerRoman"/>
      <w:lvlText w:val="%3."/>
      <w:lvlJc w:val="right"/>
      <w:pPr>
        <w:ind w:left="1560" w:hanging="420"/>
      </w:pPr>
    </w:lvl>
    <w:lvl w:ilvl="3" w:tentative="0">
      <w:start w:val="1"/>
      <w:numFmt w:val="decimal"/>
      <w:lvlText w:val="%4."/>
      <w:lvlJc w:val="left"/>
      <w:pPr>
        <w:ind w:left="1980" w:hanging="420"/>
      </w:pPr>
    </w:lvl>
    <w:lvl w:ilvl="4" w:tentative="0">
      <w:start w:val="1"/>
      <w:numFmt w:val="lowerLetter"/>
      <w:lvlText w:val="%5)"/>
      <w:lvlJc w:val="left"/>
      <w:pPr>
        <w:ind w:left="2400" w:hanging="420"/>
      </w:pPr>
    </w:lvl>
    <w:lvl w:ilvl="5" w:tentative="0">
      <w:start w:val="1"/>
      <w:numFmt w:val="lowerRoman"/>
      <w:lvlText w:val="%6."/>
      <w:lvlJc w:val="right"/>
      <w:pPr>
        <w:ind w:left="2820" w:hanging="420"/>
      </w:pPr>
    </w:lvl>
    <w:lvl w:ilvl="6" w:tentative="0">
      <w:start w:val="1"/>
      <w:numFmt w:val="decimal"/>
      <w:lvlText w:val="%7."/>
      <w:lvlJc w:val="left"/>
      <w:pPr>
        <w:ind w:left="3240" w:hanging="420"/>
      </w:pPr>
    </w:lvl>
    <w:lvl w:ilvl="7" w:tentative="0">
      <w:start w:val="1"/>
      <w:numFmt w:val="lowerLetter"/>
      <w:lvlText w:val="%8)"/>
      <w:lvlJc w:val="left"/>
      <w:pPr>
        <w:ind w:left="3660" w:hanging="420"/>
      </w:pPr>
    </w:lvl>
    <w:lvl w:ilvl="8" w:tentative="0">
      <w:start w:val="1"/>
      <w:numFmt w:val="lowerRoman"/>
      <w:lvlText w:val="%9."/>
      <w:lvlJc w:val="right"/>
      <w:pPr>
        <w:ind w:left="4080" w:hanging="420"/>
      </w:pPr>
    </w:lvl>
  </w:abstractNum>
  <w:abstractNum w:abstractNumId="1">
    <w:nsid w:val="1CC73D7D"/>
    <w:multiLevelType w:val="multilevel"/>
    <w:tmpl w:val="1CC73D7D"/>
    <w:lvl w:ilvl="0" w:tentative="0">
      <w:start w:val="1"/>
      <w:numFmt w:val="decimal"/>
      <w:lvlText w:val="%1."/>
      <w:lvlJc w:val="left"/>
      <w:pPr>
        <w:ind w:left="775" w:hanging="37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ind w:left="1285" w:hanging="465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660" w:hanging="420"/>
      </w:pPr>
    </w:lvl>
    <w:lvl w:ilvl="3" w:tentative="0">
      <w:start w:val="1"/>
      <w:numFmt w:val="decimal"/>
      <w:lvlText w:val="%4."/>
      <w:lvlJc w:val="left"/>
      <w:pPr>
        <w:ind w:left="2080" w:hanging="420"/>
      </w:pPr>
    </w:lvl>
    <w:lvl w:ilvl="4" w:tentative="0">
      <w:start w:val="1"/>
      <w:numFmt w:val="lowerLetter"/>
      <w:lvlText w:val="%5)"/>
      <w:lvlJc w:val="left"/>
      <w:pPr>
        <w:ind w:left="2500" w:hanging="420"/>
      </w:pPr>
    </w:lvl>
    <w:lvl w:ilvl="5" w:tentative="0">
      <w:start w:val="1"/>
      <w:numFmt w:val="lowerRoman"/>
      <w:lvlText w:val="%6."/>
      <w:lvlJc w:val="right"/>
      <w:pPr>
        <w:ind w:left="2920" w:hanging="420"/>
      </w:pPr>
    </w:lvl>
    <w:lvl w:ilvl="6" w:tentative="0">
      <w:start w:val="1"/>
      <w:numFmt w:val="decimal"/>
      <w:lvlText w:val="%7."/>
      <w:lvlJc w:val="left"/>
      <w:pPr>
        <w:ind w:left="3340" w:hanging="420"/>
      </w:pPr>
    </w:lvl>
    <w:lvl w:ilvl="7" w:tentative="0">
      <w:start w:val="1"/>
      <w:numFmt w:val="lowerLetter"/>
      <w:lvlText w:val="%8)"/>
      <w:lvlJc w:val="left"/>
      <w:pPr>
        <w:ind w:left="3760" w:hanging="420"/>
      </w:pPr>
    </w:lvl>
    <w:lvl w:ilvl="8" w:tentative="0">
      <w:start w:val="1"/>
      <w:numFmt w:val="lowerRoman"/>
      <w:lvlText w:val="%9."/>
      <w:lvlJc w:val="right"/>
      <w:pPr>
        <w:ind w:left="41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1ZDBlMGU5ODg0MjFmMWM5ODUwYjE5NDUzNjg2ZWYifQ=="/>
  </w:docVars>
  <w:rsids>
    <w:rsidRoot w:val="009C481D"/>
    <w:rsid w:val="00026DD7"/>
    <w:rsid w:val="000406FE"/>
    <w:rsid w:val="00064F39"/>
    <w:rsid w:val="00070921"/>
    <w:rsid w:val="00074725"/>
    <w:rsid w:val="00076307"/>
    <w:rsid w:val="00076BB4"/>
    <w:rsid w:val="000962D8"/>
    <w:rsid w:val="000B34B2"/>
    <w:rsid w:val="000D01DB"/>
    <w:rsid w:val="001405AD"/>
    <w:rsid w:val="001413AF"/>
    <w:rsid w:val="00174FA7"/>
    <w:rsid w:val="001A29A1"/>
    <w:rsid w:val="001A3E74"/>
    <w:rsid w:val="001B45FA"/>
    <w:rsid w:val="001C40B7"/>
    <w:rsid w:val="001F25CD"/>
    <w:rsid w:val="002248EE"/>
    <w:rsid w:val="00232E33"/>
    <w:rsid w:val="00276647"/>
    <w:rsid w:val="00283E94"/>
    <w:rsid w:val="002A254A"/>
    <w:rsid w:val="002D0B87"/>
    <w:rsid w:val="002D1D2B"/>
    <w:rsid w:val="002D6B1C"/>
    <w:rsid w:val="002D6DB2"/>
    <w:rsid w:val="002D7A86"/>
    <w:rsid w:val="002E0F2D"/>
    <w:rsid w:val="002F5350"/>
    <w:rsid w:val="00304B2C"/>
    <w:rsid w:val="00311BCD"/>
    <w:rsid w:val="00334882"/>
    <w:rsid w:val="00344147"/>
    <w:rsid w:val="00345AFD"/>
    <w:rsid w:val="00352E7F"/>
    <w:rsid w:val="00375140"/>
    <w:rsid w:val="003A3120"/>
    <w:rsid w:val="003A436E"/>
    <w:rsid w:val="003A7D8D"/>
    <w:rsid w:val="003B0B94"/>
    <w:rsid w:val="003C26F1"/>
    <w:rsid w:val="003D3DE5"/>
    <w:rsid w:val="003D7CD9"/>
    <w:rsid w:val="003F1619"/>
    <w:rsid w:val="00402835"/>
    <w:rsid w:val="0040289B"/>
    <w:rsid w:val="004303F4"/>
    <w:rsid w:val="00445EB4"/>
    <w:rsid w:val="00461A63"/>
    <w:rsid w:val="00490C9E"/>
    <w:rsid w:val="004A35A6"/>
    <w:rsid w:val="004A4BC0"/>
    <w:rsid w:val="004B62AB"/>
    <w:rsid w:val="004F1ED7"/>
    <w:rsid w:val="0050039F"/>
    <w:rsid w:val="00506943"/>
    <w:rsid w:val="005557F4"/>
    <w:rsid w:val="006272E6"/>
    <w:rsid w:val="00640F59"/>
    <w:rsid w:val="006421D1"/>
    <w:rsid w:val="00653637"/>
    <w:rsid w:val="00655376"/>
    <w:rsid w:val="006A138A"/>
    <w:rsid w:val="006B3168"/>
    <w:rsid w:val="006D248A"/>
    <w:rsid w:val="006D4592"/>
    <w:rsid w:val="006D6D5C"/>
    <w:rsid w:val="00703FA7"/>
    <w:rsid w:val="0070476C"/>
    <w:rsid w:val="007311D6"/>
    <w:rsid w:val="007466BC"/>
    <w:rsid w:val="007639D5"/>
    <w:rsid w:val="0077297A"/>
    <w:rsid w:val="00812204"/>
    <w:rsid w:val="00837FE1"/>
    <w:rsid w:val="008571CF"/>
    <w:rsid w:val="008A22E2"/>
    <w:rsid w:val="008A61F1"/>
    <w:rsid w:val="008B265A"/>
    <w:rsid w:val="008B37CB"/>
    <w:rsid w:val="008B39AB"/>
    <w:rsid w:val="008B73C2"/>
    <w:rsid w:val="008C5FC5"/>
    <w:rsid w:val="00946BF7"/>
    <w:rsid w:val="00955C0C"/>
    <w:rsid w:val="00962CD8"/>
    <w:rsid w:val="00972499"/>
    <w:rsid w:val="00982E26"/>
    <w:rsid w:val="009A30DC"/>
    <w:rsid w:val="009C3032"/>
    <w:rsid w:val="009C481D"/>
    <w:rsid w:val="009D0B10"/>
    <w:rsid w:val="009E5F4C"/>
    <w:rsid w:val="009F59F3"/>
    <w:rsid w:val="009F69E9"/>
    <w:rsid w:val="00A25A5B"/>
    <w:rsid w:val="00A26B93"/>
    <w:rsid w:val="00A44E10"/>
    <w:rsid w:val="00A61E75"/>
    <w:rsid w:val="00A729E1"/>
    <w:rsid w:val="00AA256C"/>
    <w:rsid w:val="00AB6623"/>
    <w:rsid w:val="00AC5C73"/>
    <w:rsid w:val="00AD72D5"/>
    <w:rsid w:val="00AE1A4F"/>
    <w:rsid w:val="00AE62AF"/>
    <w:rsid w:val="00AF0454"/>
    <w:rsid w:val="00B25212"/>
    <w:rsid w:val="00B329DF"/>
    <w:rsid w:val="00B602B4"/>
    <w:rsid w:val="00BA17B5"/>
    <w:rsid w:val="00BE5787"/>
    <w:rsid w:val="00BE7A03"/>
    <w:rsid w:val="00C01B12"/>
    <w:rsid w:val="00C0453E"/>
    <w:rsid w:val="00C277D5"/>
    <w:rsid w:val="00C40D5A"/>
    <w:rsid w:val="00C43DE1"/>
    <w:rsid w:val="00C619A4"/>
    <w:rsid w:val="00C662C4"/>
    <w:rsid w:val="00C96778"/>
    <w:rsid w:val="00CD1713"/>
    <w:rsid w:val="00CF7F58"/>
    <w:rsid w:val="00D521B8"/>
    <w:rsid w:val="00D625B8"/>
    <w:rsid w:val="00D65EC6"/>
    <w:rsid w:val="00D753C6"/>
    <w:rsid w:val="00DA34E1"/>
    <w:rsid w:val="00DA5B66"/>
    <w:rsid w:val="00E03482"/>
    <w:rsid w:val="00E14CBE"/>
    <w:rsid w:val="00E326B8"/>
    <w:rsid w:val="00E43BFA"/>
    <w:rsid w:val="00E44EBF"/>
    <w:rsid w:val="00E70245"/>
    <w:rsid w:val="00E867D1"/>
    <w:rsid w:val="00E902FC"/>
    <w:rsid w:val="00EE0D3B"/>
    <w:rsid w:val="00EE4626"/>
    <w:rsid w:val="00EF029B"/>
    <w:rsid w:val="00F0003A"/>
    <w:rsid w:val="00F46EF5"/>
    <w:rsid w:val="00F47846"/>
    <w:rsid w:val="00F65605"/>
    <w:rsid w:val="00F7292D"/>
    <w:rsid w:val="00FB1F4F"/>
    <w:rsid w:val="00FF49C6"/>
    <w:rsid w:val="120945EA"/>
    <w:rsid w:val="2AF711EA"/>
    <w:rsid w:val="2D443D65"/>
    <w:rsid w:val="3F5252BC"/>
    <w:rsid w:val="4E1B359F"/>
    <w:rsid w:val="4ED35788"/>
    <w:rsid w:val="501E3412"/>
    <w:rsid w:val="507A3728"/>
    <w:rsid w:val="524F3B13"/>
    <w:rsid w:val="61D8154E"/>
    <w:rsid w:val="62044F32"/>
    <w:rsid w:val="68846790"/>
    <w:rsid w:val="716A264E"/>
    <w:rsid w:val="754F4BF5"/>
    <w:rsid w:val="77CB388D"/>
    <w:rsid w:val="783251EB"/>
    <w:rsid w:val="7F1C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lock Text"/>
    <w:basedOn w:val="1"/>
    <w:uiPriority w:val="0"/>
    <w:pPr>
      <w:tabs>
        <w:tab w:val="left" w:pos="-1440"/>
        <w:tab w:val="left" w:pos="-720"/>
        <w:tab w:val="left" w:pos="1200"/>
        <w:tab w:val="left" w:pos="1440"/>
      </w:tabs>
      <w:suppressAutoHyphens/>
      <w:spacing w:line="228" w:lineRule="auto"/>
      <w:ind w:left="1200" w:right="605" w:hanging="800"/>
      <w:jc w:val="both"/>
    </w:pPr>
    <w:rPr>
      <w:rFonts w:ascii="CG Times" w:hAnsi="CG Times" w:eastAsia="PMingLiU"/>
      <w:spacing w:val="-3"/>
      <w:sz w:val="24"/>
      <w:lang w:eastAsia="en-US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4"/>
    <w:qFormat/>
    <w:uiPriority w:val="99"/>
    <w:pPr>
      <w:tabs>
        <w:tab w:val="center" w:pos="4320"/>
        <w:tab w:val="right" w:pos="8640"/>
      </w:tabs>
    </w:pPr>
    <w:rPr>
      <w:sz w:val="24"/>
      <w:lang w:val="zh-CN"/>
    </w:rPr>
  </w:style>
  <w:style w:type="paragraph" w:styleId="7">
    <w:name w:val="Subtitle"/>
    <w:basedOn w:val="1"/>
    <w:link w:val="16"/>
    <w:qFormat/>
    <w:uiPriority w:val="0"/>
    <w:pPr>
      <w:widowControl w:val="0"/>
    </w:pPr>
    <w:rPr>
      <w:rFonts w:ascii="Garamond" w:hAnsi="Garamond" w:eastAsia="Times New Roman"/>
      <w:b/>
      <w:snapToGrid w:val="0"/>
      <w:sz w:val="24"/>
      <w:lang w:val="zh-CN" w:eastAsia="en-US"/>
    </w:rPr>
  </w:style>
  <w:style w:type="table" w:styleId="9">
    <w:name w:val="Table Grid"/>
    <w:basedOn w:val="8"/>
    <w:uiPriority w:val="59"/>
    <w:rPr>
      <w:rFonts w:ascii="Calibri" w:hAnsi="Calibri"/>
      <w:sz w:val="22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page number"/>
    <w:basedOn w:val="10"/>
    <w:uiPriority w:val="0"/>
  </w:style>
  <w:style w:type="paragraph" w:customStyle="1" w:styleId="13">
    <w:name w:val="列出段落"/>
    <w:basedOn w:val="1"/>
    <w:qFormat/>
    <w:uiPriority w:val="34"/>
    <w:pPr>
      <w:widowControl w:val="0"/>
      <w:ind w:left="720"/>
      <w:contextualSpacing/>
      <w:jc w:val="both"/>
    </w:pPr>
    <w:rPr>
      <w:rFonts w:ascii="Arial" w:hAnsi="Arial"/>
      <w:kern w:val="2"/>
      <w:sz w:val="24"/>
      <w:szCs w:val="24"/>
    </w:rPr>
  </w:style>
  <w:style w:type="character" w:customStyle="1" w:styleId="14">
    <w:name w:val="页眉 字符"/>
    <w:link w:val="6"/>
    <w:uiPriority w:val="99"/>
    <w:rPr>
      <w:sz w:val="24"/>
    </w:rPr>
  </w:style>
  <w:style w:type="paragraph" w:customStyle="1" w:styleId="15">
    <w:name w:val="Default Text"/>
    <w:basedOn w:val="1"/>
    <w:uiPriority w:val="0"/>
    <w:rPr>
      <w:sz w:val="24"/>
      <w:lang w:eastAsia="en-US"/>
    </w:rPr>
  </w:style>
  <w:style w:type="character" w:customStyle="1" w:styleId="16">
    <w:name w:val="副标题 字符"/>
    <w:link w:val="7"/>
    <w:uiPriority w:val="0"/>
    <w:rPr>
      <w:rFonts w:ascii="Garamond" w:hAnsi="Garamond" w:eastAsia="Times New Roman"/>
      <w:b/>
      <w:snapToGrid w:val="0"/>
      <w:sz w:val="24"/>
      <w:lang w:eastAsia="en-US"/>
    </w:rPr>
  </w:style>
  <w:style w:type="paragraph" w:customStyle="1" w:styleId="17">
    <w:name w:val="Default"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EDFCEA8-DECD-4E6B-9A28-D829AB215EF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2</Pages>
  <Words>198</Words>
  <Characters>1133</Characters>
  <Lines>9</Lines>
  <Paragraphs>2</Paragraphs>
  <TotalTime>0</TotalTime>
  <ScaleCrop>false</ScaleCrop>
  <LinksUpToDate>false</LinksUpToDate>
  <CharactersWithSpaces>1329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2022-06-10T03:39:00Z</dcterms:created>
  <dc:creator>lucy</dc:creator>
  <cp:lastModifiedBy>冯亮</cp:lastModifiedBy>
  <dcterms:modified xsi:type="dcterms:W3CDTF">2023-11-24T03:06:37Z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B1256F8619C646108D5B0C11A70A462A</vt:lpwstr>
  </property>
</Properties>
</file>