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c13bd75.</w:t>
      </w:r>
    </w:p>
    <w:p>
      <w:pPr>
        <w:pStyle w:val="BodyText"/>
        <w:jc w:val="both"/>
      </w:pPr>
      <w:r>
        <w:rPr>
          <w:b/>
          <w:bCs/>
          <w:sz w:val="19"/>
        </w:rPr>
        <w:t xml:space="preserve">Abstract—</w:t>
      </w:r>
      <w:r>
        <w:rPr>
          <w:b/>
          <w:sz w:val="19"/>
        </w:rPr>
        <w:t xml:space="preserve">Conformal prediction offers finite-sample coverage guarantees for clinical classifiers, but only if calibration and test data are exchangeable — an assumption that repeated recordings, segments and beats from the same patient violate. Hierarchical conformal prediction restores a guarantee by calibrating over blocks, yet its threshold is finite only when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when this guarantee can be enforced, and when ignoring blocks actually costs coverage, on three public electrocardiogram resources. From metadata alone, before any model is trained, declaring all four documented dependence sources in PTB-XL collapses every admissible calibration grouping to a single block, and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relative to a matched permutation null by 1.5–2.4 percentage points; a factorial design attributes the deficit to clustering rather than to unequal block sizes, and across twelve configurations it increases with the design effect (Spearman 0.80–0.85). PTB-XL shows no deficit despite a within-patient correlation of 0.35, because most patients contribute a single recording. We further show that the apparent advantage of hierarchical over naive calibration is 75–110% mechanical, persisting when dependence is removed. Directions hold across three backbones spanning a hundredfold range of capacity and across checkpoints; one backbone fails the pre-registered significance criterion, and we report it.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yet a calibrated statement of</w:t>
      </w:r>
      <w:r>
        <w:t xml:space="preserve"> </w:t>
      </w:r>
      <w:r>
        <w:t xml:space="preserve">uncertainty is widely regarded as a prerequisite for their clinical use. Reviews</w:t>
      </w:r>
      <w:r>
        <w:t xml:space="preserve"> </w:t>
      </w:r>
      <w:r>
        <w:t xml:space="preserve">of uncertainty quantification in clinical deep learning [3] and the FUTURE-AI</w:t>
      </w:r>
      <w:r>
        <w:t xml:space="preserve"> </w:t>
      </w:r>
      <w:r>
        <w:t xml:space="preserve">consensus guideline [4] both make this point. Conformal prediction is attractive</w:t>
      </w:r>
      <w:r>
        <w:t xml:space="preserve"> </w:t>
      </w:r>
      <w:r>
        <w:t xml:space="preserve">in this setting because it converts any trained classifier into a set-valued</w:t>
      </w:r>
      <w:r>
        <w:t xml:space="preserve"> </w:t>
      </w:r>
      <w:r>
        <w:t xml:space="preserve">predictor whose coverage holds in finite samples without distributional</w:t>
      </w:r>
      <w:r>
        <w:t xml:space="preserve"> </w:t>
      </w:r>
      <w:r>
        <w:t xml:space="preserve">assumptions [5], and it has been applied across clinical domains [6]–[7].</w:t>
      </w:r>
    </w:p>
    <w:p>
      <w:pPr>
        <w:pStyle w:val="BodyText"/>
        <w:jc w:val="both"/>
      </w:pPr>
      <w:r>
        <w:t xml:space="preserve">That guarantee rests on a single assumption: calibration and test observations</w:t>
      </w:r>
      <w:r>
        <w:t xml:space="preserve"> </w:t>
      </w:r>
      <w:r>
        <w:t xml:space="preserve">are exchangeable. Clinical ECG data rarely satisfy it. A patient contributes</w:t>
      </w:r>
      <w:r>
        <w:t xml:space="preserve"> </w:t>
      </w:r>
      <w:r>
        <w:t xml:space="preserve">several recordings; a Holter episode is cut into many segments; a single</w:t>
      </w:r>
      <w:r>
        <w:t xml:space="preserve"> </w:t>
      </w:r>
      <w:r>
        <w:t xml:space="preserve">recording yields thousands of beats; devices, sites and operators are shared</w:t>
      </w:r>
      <w:r>
        <w:t xml:space="preserve"> </w:t>
      </w:r>
      <w:r>
        <w:t xml:space="preserve">across patients. Observations within such a block are more alike than</w:t>
      </w:r>
      <w:r>
        <w:t xml:space="preserve"> </w:t>
      </w:r>
      <w:r>
        <w:t xml:space="preserve">observations across blocks. Exchangeability can fail in many ways, and the size</w:t>
      </w:r>
      <w:r>
        <w:t xml:space="preserve"> </w:t>
      </w:r>
      <w:r>
        <w:t xml:space="preserve">of the resulting coverage gap is bounded in general terms [8]. For the specific</w:t>
      </w:r>
      <w:r>
        <w:t xml:space="preserve"> </w:t>
      </w:r>
      <w:r>
        <w:t xml:space="preserve">case of grouped or repeated measurements, Lee et al. have derived a hierarchical</w:t>
      </w:r>
      <w:r>
        <w:t xml:space="preserve"> </w:t>
      </w:r>
      <w:r>
        <w:t xml:space="preserve">form of exchangeability and a hierarchical conformal prediction (HCP) procedure</w:t>
      </w:r>
      <w:r>
        <w:t xml:space="preserve"> </w:t>
      </w:r>
      <w:r>
        <w:t xml:space="preserve">that restores a finite-sample guarantee by calibrating at the level of blocks</w:t>
      </w:r>
      <w:r>
        <w:t xml:space="preserve"> </w:t>
      </w:r>
      <w:r>
        <w:t xml:space="preserve">rather than observations [9]; related constructions for two-layer hierarchical</w:t>
      </w:r>
      <w:r>
        <w:t xml:space="preserve"> </w:t>
      </w:r>
      <w:r>
        <w:t xml:space="preserve">models are given by Dunn et al. [10].</w:t>
      </w:r>
    </w:p>
    <w:p>
      <w:pPr>
        <w:pStyle w:val="BodyText"/>
        <w:jc w:val="both"/>
      </w:pPr>
      <w:r>
        <w:t xml:space="preserve">The remedy therefore exists. What has not been examined is whether it can be</w:t>
      </w:r>
      <w:r>
        <w:t xml:space="preserve"> </w:t>
      </w:r>
      <w:r>
        <w:t xml:space="preserve">applied to the clinical data on which it is needed. HCP assigns each calibration</w:t>
      </w:r>
      <w:r>
        <w:t xml:space="preserve"> </w:t>
      </w:r>
      <w:r>
        <w:t xml:space="preserve">block equal mass and places a further atom at</w:t>
      </w:r>
      <w:r>
        <w:t xml:space="preserve"> </w:t>
      </w:r>
      <m:oMath>
        <m:r>
          <m:rPr>
            <m:sty m:val="p"/>
          </m:rPr>
          <m:t>+</m:t>
        </m:r>
        <m:r>
          <m:rPr>
            <m:sty m:val="p"/>
          </m:rPr>
          <m:t>∞</m:t>
        </m:r>
      </m:oMath>
      <w:r>
        <w:t xml:space="preserve">, so its threshold is</w:t>
      </w:r>
      <w:r>
        <w:t xml:space="preserve"> </w:t>
      </w:r>
      <w:r>
        <w:t xml:space="preserve">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is the number of calibration blocks. Large clinical datasets can have few</w:t>
      </w:r>
      <w:r>
        <w:t xml:space="preserve"> </w:t>
      </w:r>
      <w:r>
        <w:t xml:space="preserve">blocks once every dependence source is respected, and fewer still for rare</w:t>
      </w:r>
      <w:r>
        <w:t xml:space="preserve"> </w:t>
      </w:r>
      <w:r>
        <w:t xml:space="preserve">diagnoses. At the same time, it is not obvious when ignoring block structure</w:t>
      </w:r>
      <w:r>
        <w:t xml:space="preserve"> </w:t>
      </w:r>
      <w:r>
        <w:t xml:space="preserve">actually costs coverage: a dataset in which most patients contribute a single</w:t>
      </w:r>
      <w:r>
        <w:t xml:space="preserve"> </w:t>
      </w:r>
      <w:r>
        <w:t xml:space="preserve">recording may be harmless even if the few repeated recordings are strongly</w:t>
      </w:r>
      <w:r>
        <w:t xml:space="preserve"> </w:t>
      </w:r>
      <w:r>
        <w:t xml:space="preserve">correlated. The authors of [9] identify the trade-off between many small and</w:t>
      </w:r>
      <w:r>
        <w:t xml:space="preserve"> </w:t>
      </w:r>
      <w:r>
        <w:t xml:space="preserve">few large groups as an open question for study design.</w:t>
      </w:r>
    </w:p>
    <w:p>
      <w:pPr>
        <w:pStyle w:val="BodyText"/>
        <w:jc w:val="both"/>
      </w:pPr>
      <w:r>
        <w:t xml:space="preserve">This paper reports an empirical audit of block-level conformal calibration on</w:t>
      </w:r>
      <w:r>
        <w:t xml:space="preserve"> </w:t>
      </w:r>
      <w:r>
        <w:t xml:space="preserve">three public ECG resources: PTB-XL [2], [11], the MIT-BIH Arrhythmia Database</w:t>
      </w:r>
      <w:r>
        <w:t xml:space="preserve"> </w:t>
      </w:r>
      <w:r>
        <w:t xml:space="preserve">[12], and the PhysioNet/CinC Challenge 2021 collection [13]. The datasets were</w:t>
      </w:r>
      <w:r>
        <w:t xml:space="preserve"> </w:t>
      </w:r>
      <w:r>
        <w:t xml:space="preserve">chosen to occupy opposite ends of the space of block geometries — PTB-XL with</w:t>
      </w:r>
      <w:r>
        <w:t xml:space="preserve"> </w:t>
      </w:r>
      <w:r>
        <w:t xml:space="preserve">18,869 patients averaging 1.16 records each, MIT-BIH with 44 subjects</w:t>
      </w:r>
      <w:r>
        <w:t xml:space="preserve"> </w:t>
      </w:r>
      <w:r>
        <w:t xml:space="preserve">contributing more than 1,500 beats each — and, in the case of Challenge 2021, to</w:t>
      </w:r>
      <w:r>
        <w:t xml:space="preserve"> </w:t>
      </w:r>
      <w:r>
        <w:t xml:space="preserve">provide a resource in which the block identifier is not documented at all. We</w:t>
      </w:r>
      <w:r>
        <w:t xml:space="preserve"> </w:t>
      </w:r>
      <w:r>
        <w:t xml:space="preserve">introduce no new conformal procedure. The contributions are the following.</w:t>
      </w:r>
    </w:p>
    <w:p>
      <w:pPr>
        <w:pStyle w:val="Compact"/>
        <w:numPr>
          <w:ilvl w:val="0"/>
          <w:numId w:val="1001"/>
        </w:numPr>
      </w:pPr>
      <w:r>
        <w:t xml:space="preserve">A metadata-only feasibility audit (§5, §8.1). Combining the HCP</w:t>
      </w:r>
      <w:r>
        <w:t xml:space="preserve"> </w:t>
      </w:r>
      <w:r>
        <w:t xml:space="preserve">feasibility bound with the join of declared dependence sources yields exact,</w:t>
      </w:r>
      <w:r>
        <w:t xml:space="preserve"> </w:t>
      </w:r>
      <w:r>
        <w:t xml:space="preserve">pre-enrolment verdicts. On PTB-XL, declaring all four documented sources</w:t>
      </w:r>
      <w:r>
        <w:t xml:space="preserve"> </w:t>
      </w:r>
      <w:r>
        <w:t xml:space="preserve">collapses every admissible calibration grouping to a single block, and 24 of</w:t>
      </w:r>
      <w:r>
        <w:t xml:space="preserve"> </w:t>
      </w:r>
      <w:r>
        <w:t xml:space="preserve">44 SCP diagnostic statements cannot receive a finite per-label threshold at</w:t>
      </w:r>
      <w:r>
        <w:t xml:space="preserve"> </w:t>
      </w:r>
      <m:oMath>
        <m:r>
          <m:t>α</m:t>
        </m:r>
        <m:r>
          <m:rPr>
            <m:sty m:val="p"/>
          </m:rPr>
          <m:t>=</m:t>
        </m:r>
        <m:r>
          <m:t>0.05</m:t>
        </m:r>
      </m:oMath>
      <w:r>
        <w:t xml:space="preserve"> </w:t>
      </w:r>
      <w:r>
        <w:t xml:space="preserve">under patient blocking alone. On MIT-BIH, dividing the 22</w:t>
      </w:r>
      <w:r>
        <w:t xml:space="preserve"> </w:t>
      </w:r>
      <w:r>
        <w:t xml:space="preserve">evaluation subjects of the canonical inter-patient partition evenly between</w:t>
      </w:r>
      <w:r>
        <w:t xml:space="preserve"> </w:t>
      </w:r>
      <w:r>
        <w:t xml:space="preserve">calibration and test cannot support a subject-level guarantee at the 95% level.</w:t>
      </w:r>
    </w:p>
    <w:p>
      <w:pPr>
        <w:pStyle w:val="Compact"/>
        <w:numPr>
          <w:ilvl w:val="0"/>
          <w:numId w:val="1001"/>
        </w:numPr>
      </w:pPr>
      <w:r>
        <w:t xml:space="preserve">Evidence that block dependence, not block imbalance, drives under-coverage,</w:t>
      </w:r>
      <w:r>
        <w:t xml:space="preserve"> </w:t>
      </w:r>
      <w:r>
        <w:t xml:space="preserve">and that it does so through repetition (§8.2–§8.4). Naive split conformal</w:t>
      </w:r>
      <w:r>
        <w:t xml:space="preserve"> </w:t>
      </w:r>
      <w:r>
        <w:t xml:space="preserve">under-covers on MIT-BIH relative to a matched permutation null; a factorial</w:t>
      </w:r>
      <w:r>
        <w:t xml:space="preserve"> </w:t>
      </w:r>
      <w:r>
        <w:t xml:space="preserve">design attributes the deficit to clustering rather than to unequal block</w:t>
      </w:r>
      <w:r>
        <w:t xml:space="preserve"> </w:t>
      </w:r>
      <w:r>
        <w:t xml:space="preserve">sizes; and the deficit increases with the design effect across twelve</w:t>
      </w:r>
      <w:r>
        <w:t xml:space="preserve"> </w:t>
      </w:r>
      <w:r>
        <w:t xml:space="preserve">configurations, with PTB-XL falling where the design effect predicts — near</w:t>
      </w:r>
      <w:r>
        <w:t xml:space="preserve"> </w:t>
      </w:r>
      <w:r>
        <w:t xml:space="preserve">zero — despite a substantial within-patient correlation.</w:t>
      </w:r>
    </w:p>
    <w:p>
      <w:pPr>
        <w:pStyle w:val="Compact"/>
        <w:numPr>
          <w:ilvl w:val="0"/>
          <w:numId w:val="1001"/>
        </w:numPr>
      </w:pPr>
      <w:r>
        <w:t xml:space="preserve">A caution for evaluating hierarchical conformal methods (§8.3, §9.3). The</w:t>
      </w:r>
      <w:r>
        <w:t xml:space="preserve"> </w:t>
      </w:r>
      <w:r>
        <w:t xml:space="preserve">apparent improvement of HCP over naive split conformal is 75–110% mechanical:</w:t>
      </w:r>
      <w:r>
        <w:t xml:space="preserve"> </w:t>
      </w:r>
      <w:r>
        <w:t xml:space="preserve">it persists when dependence is removed. We recommend matched permutation nulls</w:t>
      </w:r>
      <w:r>
        <w:t xml:space="preserve"> </w:t>
      </w:r>
      <w:r>
        <w:t xml:space="preserve">and joint reporting of set size.</w:t>
      </w:r>
    </w:p>
    <w:p>
      <w:pPr>
        <w:pStyle w:val="Compact"/>
        <w:numPr>
          <w:ilvl w:val="0"/>
          <w:numId w:val="1001"/>
        </w:numPr>
      </w:pPr>
      <w:r>
        <w:t xml:space="preserve">Pre-registered robustness checks reported in full (§8.5, §10). The direction</w:t>
      </w:r>
      <w:r>
        <w:t xml:space="preserve"> </w:t>
      </w:r>
      <w:r>
        <w:t xml:space="preserve">of every finding holds across three backbones spanning a more than hundredfold</w:t>
      </w:r>
      <w:r>
        <w:t xml:space="preserve"> </w:t>
      </w:r>
      <w:r>
        <w:t xml:space="preserve">range of parameters and across checkpoints. Its statistical strength does not:</w:t>
      </w:r>
      <w:r>
        <w:t xml:space="preserve"> </w:t>
      </w:r>
      <w:r>
        <w:t xml:space="preserve">one of three backbones fails the pre-registered significance criterion, and we</w:t>
      </w:r>
      <w:r>
        <w:t xml:space="preserve"> </w:t>
      </w:r>
      <w:r>
        <w:t xml:space="preserve">report that failure.</w:t>
      </w:r>
    </w:p>
    <w:p>
      <w:pPr>
        <w:pStyle w:val="FirstParagraph"/>
        <w:jc w:val="both"/>
      </w:pPr>
      <w:r>
        <w:t xml:space="preserve">All analyses use block-level resampling, a held-out PTB-XL fold that was never</w:t>
      </w:r>
      <w:r>
        <w:t xml:space="preserve"> </w:t>
      </w:r>
      <w:r>
        <w:t xml:space="preserve">examined, and a protocol whose deviations are logged. Code and per-result</w:t>
      </w:r>
      <w:r>
        <w:t xml:space="preserve"> </w:t>
      </w:r>
      <w:r>
        <w:t xml:space="preserve">artefacts are released with the paper.</w:t>
      </w:r>
    </w:p>
    <w:p>
      <w:pPr>
        <w:pStyle w:val="BodyText"/>
        <w:jc w:val="both"/>
      </w:pPr>
      <w:r>
        <w:t xml:space="preserve">The paper is organised as follows. Section 2 reviews related work. Sections 3</w:t>
      </w:r>
      <w:r>
        <w:t xml:space="preserve"> </w:t>
      </w:r>
      <w:r>
        <w:t xml:space="preserve">and 4 fix notation and state the feasibility problem. Section 5 describes the</w:t>
      </w:r>
      <w:r>
        <w:t xml:space="preserve"> </w:t>
      </w:r>
      <w:r>
        <w:t xml:space="preserve">audit diagnostics, Sections 6 and 7 the data and setup, and Section 8 the</w:t>
      </w:r>
      <w:r>
        <w:t xml:space="preserve"> </w:t>
      </w:r>
      <w:r>
        <w:t xml:space="preserve">results. Section 9 discusses their implications, Section 10 the threats to their</w:t>
      </w:r>
      <w:r>
        <w:t xml:space="preserve"> </w:t>
      </w:r>
      <w:r>
        <w:t xml:space="preserve">validity, and Section 11 concludes.</w:t>
      </w:r>
    </w:p>
    <w:bookmarkEnd w:id="9"/>
    <w:bookmarkStart w:id="14" w:name="related-work"/>
    <w:p>
      <w:pPr>
        <w:pStyle w:val="Heading1"/>
      </w:pPr>
      <w:r>
        <w:t xml:space="preserve">2. Related Work</w:t>
      </w:r>
    </w:p>
    <w:bookmarkStart w:id="10" w:name="Xd4e2d48d8a985b42ffe14f432ed2e7b6a511dfc"/>
    <w:p>
      <w:pPr>
        <w:pStyle w:val="Heading2"/>
      </w:pPr>
      <w:r>
        <w:t xml:space="preserve">2.1 Conformal prediction under violations of exchangeability</w:t>
      </w:r>
    </w:p>
    <w:p>
      <w:pPr>
        <w:pStyle w:val="FirstParagraph"/>
        <w:jc w:val="both"/>
      </w:pPr>
      <w:r>
        <w:t xml:space="preserve">Split conformal prediction attains finite-sample marginal coverage under a single</w:t>
      </w:r>
      <w:r>
        <w:t xml:space="preserve"> </w:t>
      </w:r>
      <w:r>
        <w:t xml:space="preserve">assumption: that calibration and test points are exchangeable. Barber et al. [8]</w:t>
      </w:r>
      <w:r>
        <w:t xml:space="preserve"> </w:t>
      </w:r>
      <w:r>
        <w:t xml:space="preserve">give the sharpest available account of what happens when that assumption fails,</w:t>
      </w:r>
      <w:r>
        <w:t xml:space="preserve"> </w:t>
      </w:r>
      <w:r>
        <w:t xml:space="preserve">bounding the coverage gap by the total-variation distance between the observed</w:t>
      </w:r>
      <w:r>
        <w:t xml:space="preserve"> </w:t>
      </w:r>
      <w:r>
        <w:t xml:space="preserve">data distribution and its exchangeable counterpart. Their analysis is agnostic to</w:t>
      </w:r>
      <w:r>
        <w:t xml:space="preserve"> </w:t>
      </w:r>
      <w:r>
        <w:rPr>
          <w:i/>
          <w:iCs/>
        </w:rPr>
        <w:t xml:space="preserve">why</w:t>
      </w:r>
      <w:r>
        <w:t xml:space="preserve"> </w:t>
      </w:r>
      <w:r>
        <w:t xml:space="preserve">exchangeability fails, which makes it broadly applicable but leaves the</w:t>
      </w:r>
      <w:r>
        <w:t xml:space="preserve"> </w:t>
      </w:r>
      <w:r>
        <w:t xml:space="preserve">practitioner without a constructive remedy for any particular violation.</w:t>
      </w:r>
    </w:p>
    <w:p>
      <w:pPr>
        <w:pStyle w:val="BodyText"/>
        <w:jc w:val="both"/>
      </w:pPr>
      <w:r>
        <w:t xml:space="preserve">A complementary line of work treats specific, structured departures. Weighted</w:t>
      </w:r>
      <w:r>
        <w:t xml:space="preserve"> </w:t>
      </w:r>
      <w:r>
        <w:t xml:space="preserve">conformal prediction handles covariate shift when likelihood ratios are known or</w:t>
      </w:r>
      <w:r>
        <w:t xml:space="preserve"> </w:t>
      </w:r>
      <w:r>
        <w:t xml:space="preserve">estimable [14]; spatially indexed data are addressed in [15]; network dependence</w:t>
      </w:r>
      <w:r>
        <w:t xml:space="preserve"> </w:t>
      </w:r>
      <w:r>
        <w:t xml:space="preserve">in [16]. Bhattacharyya and Barber [17] consider observations belonging to a finite</w:t>
      </w:r>
      <w:r>
        <w:t xml:space="preserve"> </w:t>
      </w:r>
      <w:r>
        <w:t xml:space="preserve">number of groups where</w:t>
      </w:r>
      <w:r>
        <w:t xml:space="preserve"> </w:t>
      </w:r>
      <w:r>
        <w:rPr>
          <w:i/>
          <w:iCs/>
        </w:rPr>
        <w:t xml:space="preserve">group membership determines the covariate shift</w:t>
      </w:r>
      <w:r>
        <w:t xml:space="preserve"> </w:t>
      </w:r>
      <w:r>
        <w:t xml:space="preserve">between</w:t>
      </w:r>
      <w:r>
        <w:t xml:space="preserve"> </w:t>
      </w:r>
      <w:r>
        <w:t xml:space="preserve">training and test distributions — for instance under stratified sampling.</w:t>
      </w:r>
    </w:p>
    <w:p>
      <w:pPr>
        <w:pStyle w:val="BodyText"/>
        <w:jc w:val="both"/>
      </w:pPr>
      <w:r>
        <w:t xml:space="preserve">In [17] the data remain exchangeable</w:t>
      </w:r>
      <w:r>
        <w:t xml:space="preserve"> </w:t>
      </w:r>
      <w:r>
        <w:rPr>
          <w:i/>
          <w:iCs/>
        </w:rPr>
        <w:t xml:space="preserve">within</w:t>
      </w:r>
      <w:r>
        <w:t xml:space="preserve"> </w:t>
      </w:r>
      <w:r>
        <w:t xml:space="preserve">each group; what shifts is the</w:t>
      </w:r>
      <w:r>
        <w:t xml:space="preserve"> </w:t>
      </w:r>
      <w:r>
        <w:t xml:space="preserve">mixture over groups. The setting we study is the opposite: the group proportions</w:t>
      </w:r>
      <w:r>
        <w:t xml:space="preserve"> </w:t>
      </w:r>
      <w:r>
        <w:t xml:space="preserve">are stable, but observations within a block are not exchangeable with one</w:t>
      </w:r>
      <w:r>
        <w:t xml:space="preserve"> </w:t>
      </w:r>
      <w:r>
        <w:t xml:space="preserve">another. The vocabulary collides; the problems do not.</w:t>
      </w:r>
    </w:p>
    <w:p>
      <w:pPr>
        <w:pStyle w:val="BodyText"/>
        <w:jc w:val="both"/>
      </w:pPr>
      <w:r>
        <w:t xml:space="preserve">Fontana et al. [5] provide the standard unified treatment of the conformal</w:t>
      </w:r>
      <w:r>
        <w:t xml:space="preserve"> </w:t>
      </w:r>
      <w:r>
        <w:t xml:space="preserve">framework and its variants, including the Mondrian (class-conditional)</w:t>
      </w:r>
      <w:r>
        <w:t xml:space="preserve"> </w:t>
      </w:r>
      <w:r>
        <w:t xml:space="preserve">construction of which we use a calibrated variant [18] as a baseline.</w:t>
      </w:r>
    </w:p>
    <w:bookmarkEnd w:id="10"/>
    <w:bookmarkStart w:id="11" w:name="X3c9268f705d9cf50350c495bae4c77b44726b79"/>
    <w:p>
      <w:pPr>
        <w:pStyle w:val="Heading2"/>
      </w:pPr>
      <w:r>
        <w:t xml:space="preserve">2.2 Conformal prediction for hierarchical data</w:t>
      </w:r>
    </w:p>
    <w:p>
      <w:pPr>
        <w:pStyle w:val="FirstParagraph"/>
        <w:jc w:val="both"/>
      </w:pPr>
      <w:r>
        <w:rPr>
          <w:b/>
          <w:bCs/>
        </w:rPr>
        <w:t xml:space="preserve">The hierarchical exchangeability problem is solved, and not by us.</w:t>
      </w:r>
      <w:r>
        <w:t xml:space="preserve"> </w:t>
      </w:r>
      <w:r>
        <w:t xml:space="preserve">Lee, Barber</w:t>
      </w:r>
      <w:r>
        <w:t xml:space="preserve"> </w:t>
      </w:r>
      <w:r>
        <w:t xml:space="preserve">and Willett [9] derive a hierarchical form of exchangeability for data organised</w:t>
      </w:r>
      <w:r>
        <w:t xml:space="preserve"> </w:t>
      </w:r>
      <w:r>
        <w:t xml:space="preserve">into groups of repeated measurements, and extend both conformal prediction and</w:t>
      </w:r>
      <w:r>
        <w:t xml:space="preserve"> </w:t>
      </w:r>
      <w:r>
        <w:t xml:space="preserve">jackknife+ [19] to that setting. Their Theorem 1 gives the hierarchical conformal</w:t>
      </w:r>
      <w:r>
        <w:t xml:space="preserve"> </w:t>
      </w:r>
      <w:r>
        <w:t xml:space="preserve">prediction (HCP)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r>
                    <m:t>s</m:t>
                  </m:r>
                  <m:r>
                    <m:rPr>
                      <m:sty m:val="p"/>
                    </m:rPr>
                    <m:t>(</m:t>
                  </m:r>
                  <m:sSub>
                    <m:e>
                      <m:r>
                        <m:t>Z</m:t>
                      </m:r>
                    </m:e>
                    <m:sub>
                      <m:r>
                        <m:t>k</m:t>
                      </m:r>
                      <m:r>
                        <m:rPr>
                          <m:sty m:val="p"/>
                        </m:rPr>
                        <m:t>,</m:t>
                      </m:r>
                      <m:r>
                        <m:t>i</m:t>
                      </m:r>
                    </m:sub>
                  </m:sSub>
                  <m:r>
                    <m:rPr>
                      <m:sty m:val="p"/>
                    </m:rPr>
                    <m:t>)</m:t>
                  </m:r>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oMath>
      </m:oMathPara>
    </w:p>
    <w:p>
      <w:pPr>
        <w:pStyle w:val="FirstParagraph"/>
        <w:jc w:val="both"/>
      </w:pPr>
      <w:r>
        <w:t xml:space="preserve">with coverage at least</w:t>
      </w:r>
      <w:r>
        <w:t xml:space="preserve"> </w:t>
      </w:r>
      <m:oMath>
        <m:r>
          <m:t>1</m:t>
        </m:r>
        <m:r>
          <m:rPr>
            <m:sty m:val="p"/>
          </m:rPr>
          <m:t>−</m:t>
        </m:r>
        <m:r>
          <m:t>α</m:t>
        </m:r>
      </m:oMath>
      <w:r>
        <w:t xml:space="preserve"> </w:t>
      </w:r>
      <w:r>
        <w:t xml:space="preserve">and, when scores are almost surely distinct, at</w:t>
      </w:r>
      <w:r>
        <w:t xml:space="preserve"> </w:t>
      </w:r>
      <w:r>
        <w:t xml:space="preserve">most</w:t>
      </w:r>
      <w:r>
        <w:t xml:space="preserve"> </w:t>
      </w:r>
      <m:oMath>
        <m:r>
          <m:t>1</m:t>
        </m:r>
        <m:r>
          <m:rPr>
            <m:sty m:val="p"/>
          </m:rPr>
          <m:t>−</m:t>
        </m:r>
        <m:r>
          <m:t>α</m:t>
        </m:r>
        <m:r>
          <m:rPr>
            <m:sty m:val="p"/>
          </m:rPr>
          <m:t>+</m:t>
        </m:r>
        <m:f>
          <m:fPr>
            <m:type m:val="bar"/>
          </m:fPr>
          <m:num>
            <m:r>
              <m:t>2</m:t>
            </m:r>
          </m:num>
          <m:den>
            <m:sSub>
              <m:e>
                <m:r>
                  <m:t>K</m:t>
                </m:r>
              </m:e>
              <m:sub>
                <m:r>
                  <m:t>1</m:t>
                </m:r>
              </m:sub>
            </m:sSub>
            <m:r>
              <m:rPr>
                <m:sty m:val="p"/>
              </m:rPr>
              <m:t>+</m:t>
            </m:r>
            <m:r>
              <m:t>1</m:t>
            </m:r>
          </m:den>
        </m:f>
      </m:oMath>
      <w:r>
        <w:t xml:space="preserve">. Dunn et al. [10] independently study two-layer</w:t>
      </w:r>
      <w:r>
        <w:t xml:space="preserve"> </w:t>
      </w:r>
      <w:r>
        <w:t xml:space="preserve">hierarchical models and introduce four constructions — pooling CDFs, double</w:t>
      </w:r>
      <w:r>
        <w:t xml:space="preserve"> </w:t>
      </w:r>
      <w:r>
        <w:t xml:space="preserve">conformal, subsampling once, and repeated subsampling — that address the same</w:t>
      </w:r>
      <w:r>
        <w:t xml:space="preserve"> </w:t>
      </w:r>
      <w:r>
        <w:t xml:space="preserve">setting.</w:t>
      </w:r>
    </w:p>
    <w:p>
      <w:pPr>
        <w:pStyle w:val="BodyText"/>
        <w:jc w:val="both"/>
      </w:pPr>
      <w:r>
        <w:t xml:space="preserve">Everything in the present paper takes this threshold as given. We do not</w:t>
      </w:r>
      <w:r>
        <w:t xml:space="preserve"> </w:t>
      </w:r>
      <w:r>
        <w:t xml:space="preserve">rederive it, and we claim no credit for it.</w:t>
      </w:r>
    </w:p>
    <w:p>
      <w:pPr>
        <w:pStyle w:val="BodyText"/>
        <w:jc w:val="both"/>
      </w:pPr>
      <w:r>
        <w:t xml:space="preserve">Both [9] and [10] are developed as theory, and their empirical sections are</w:t>
      </w:r>
      <w:r>
        <w:t xml:space="preserve"> </w:t>
      </w:r>
      <w:r>
        <w:t xml:space="preserve">regression problems; [9] evaluates on simulated data and a Lorenz-96 system.</w:t>
      </w:r>
      <w:r>
        <w:t xml:space="preserve"> </w:t>
      </w:r>
      <w:r>
        <w:t xml:space="preserve">Neither asks a question that is prior to applying the method at all:</w:t>
      </w:r>
      <w:r>
        <w:t xml:space="preserve"> </w:t>
      </w:r>
      <w:r>
        <w:rPr>
          <w:i/>
          <w:iCs/>
        </w:rPr>
        <w:t xml:space="preserve">given a</w:t>
      </w:r>
      <w:r>
        <w:rPr>
          <w:i/>
          <w:iCs/>
        </w:rPr>
        <w:t xml:space="preserve"> </w:t>
      </w:r>
      <w:r>
        <w:rPr>
          <w:i/>
          <w:iCs/>
        </w:rPr>
        <w:t xml:space="preserve">real clinical dataset and a target error rate, at which grouping — if any — can</w:t>
      </w:r>
      <w:r>
        <w:rPr>
          <w:i/>
          <w:iCs/>
        </w:rPr>
        <w:t xml:space="preserve"> </w:t>
      </w:r>
      <w:r>
        <w:rPr>
          <w:i/>
          <w:iCs/>
        </w:rPr>
        <w:t xml:space="preserve">the guarantee be enforced?</w:t>
      </w:r>
      <w:r>
        <w:t xml:space="preserve"> </w:t>
      </w:r>
      <w:r>
        <w:t xml:space="preserve">The</w:t>
      </w:r>
      <w:r>
        <w:t xml:space="preserve"> </w:t>
      </w:r>
      <m:oMath>
        <m:f>
          <m:fPr>
            <m:type m:val="bar"/>
          </m:fPr>
          <m:num>
            <m:r>
              <m:t>1</m:t>
            </m:r>
          </m:num>
          <m:den>
            <m:sSub>
              <m:e>
                <m:r>
                  <m:t>K</m:t>
                </m:r>
              </m:e>
              <m:sub>
                <m:r>
                  <m:t>1</m:t>
                </m:r>
              </m:sub>
            </m:sSub>
            <m:r>
              <m:rPr>
                <m:sty m:val="p"/>
              </m:rPr>
              <m:t>+</m:t>
            </m:r>
            <m:r>
              <m:t>1</m:t>
            </m:r>
          </m:den>
        </m:f>
      </m:oMath>
      <w:r>
        <w:t xml:space="preserve"> </w:t>
      </w:r>
      <w:r>
        <w:t xml:space="preserve">atom at</w:t>
      </w:r>
      <w:r>
        <w:t xml:space="preserve"> </w:t>
      </w:r>
      <m:oMath>
        <m:r>
          <m:rPr>
            <m:sty m:val="p"/>
          </m:rPr>
          <m:t>+</m:t>
        </m:r>
        <m:r>
          <m:rPr>
            <m:sty m:val="p"/>
          </m:rPr>
          <m:t>∞</m:t>
        </m:r>
      </m:oMath>
      <w:r>
        <w:t xml:space="preserve"> </w:t>
      </w:r>
      <w:r>
        <w:t xml:space="preserve">makes this a</w:t>
      </w:r>
      <w:r>
        <w:t xml:space="preserve"> </w:t>
      </w:r>
      <w:r>
        <w:t xml:space="preserve">non-trivial question, because it renders the threshold infinite whenever</w:t>
      </w:r>
      <w:r>
        <w:t xml:space="preserve"> </w:t>
      </w:r>
      <m:oMath>
        <m:r>
          <m:t>α</m:t>
        </m:r>
        <m:r>
          <m:rPr>
            <m:sty m:val="p"/>
          </m:rPr>
          <m:t>&lt;</m:t>
        </m:r>
        <m:f>
          <m:fPr>
            <m:type m:val="bar"/>
          </m:fPr>
          <m:num>
            <m:r>
              <m:t>1</m:t>
            </m:r>
          </m:num>
          <m:den>
            <m:sSub>
              <m:e>
                <m:r>
                  <m:t>K</m:t>
                </m:r>
              </m:e>
              <m:sub>
                <m:r>
                  <m:t>1</m:t>
                </m:r>
              </m:sub>
            </m:sSub>
            <m:r>
              <m:rPr>
                <m:sty m:val="p"/>
              </m:rPr>
              <m:t>+</m:t>
            </m:r>
            <m:r>
              <m:t>1</m:t>
            </m:r>
          </m:den>
        </m:f>
      </m:oMath>
      <w:r>
        <w:t xml:space="preserve">.</w:t>
      </w:r>
    </w:p>
    <w:p>
      <w:pPr>
        <w:pStyle w:val="BodyText"/>
        <w:jc w:val="both"/>
      </w:pPr>
      <w:r>
        <w:t xml:space="preserve">The authors of [9] state the open question themselves in their discussion,</w:t>
      </w:r>
      <w:r>
        <w:t xml:space="preserve"> </w:t>
      </w:r>
      <w:r>
        <w:t xml:space="preserve">observing that an analyst may choose between many independent groups with few</w:t>
      </w:r>
      <w:r>
        <w:t xml:space="preserve"> </w:t>
      </w:r>
      <w:r>
        <w:t xml:space="preserve">measurements each or few groups with many repeats, and that</w:t>
      </w:r>
      <w:r>
        <w:t xml:space="preserve"> </w:t>
      </w:r>
      <w:r>
        <w:rPr>
          <w:i/>
          <w:iCs/>
        </w:rPr>
        <w:t xml:space="preserve">characterising the</w:t>
      </w:r>
      <w:r>
        <w:rPr>
          <w:i/>
          <w:iCs/>
        </w:rPr>
        <w:t xml:space="preserve"> </w:t>
      </w:r>
      <w:r>
        <w:rPr>
          <w:i/>
          <w:iCs/>
        </w:rPr>
        <w:t xml:space="preserve">pros and cons of this tradeoff is an important question to determine how study</w:t>
      </w:r>
      <w:r>
        <w:rPr>
          <w:i/>
          <w:iCs/>
        </w:rPr>
        <w:t xml:space="preserve"> </w:t>
      </w:r>
      <w:r>
        <w:rPr>
          <w:i/>
          <w:iCs/>
        </w:rPr>
        <w:t xml:space="preserve">design affects inference in this distribution-free setting.</w:t>
      </w:r>
      <w:r>
        <w:t xml:space="preserve"> </w:t>
      </w:r>
      <w:r>
        <w:t xml:space="preserve">Section 5 addresses</w:t>
      </w:r>
      <w:r>
        <w:t xml:space="preserve"> </w:t>
      </w:r>
      <w:r>
        <w:t xml:space="preserve">the most elementary part of that question — whether a finite threshold exists at</w:t>
      </w:r>
      <w:r>
        <w:t xml:space="preserve"> </w:t>
      </w:r>
      <w:r>
        <w:t xml:space="preserve">all for a given design — and the remainder of the paper measures what happens on</w:t>
      </w:r>
      <w:r>
        <w:t xml:space="preserve"> </w:t>
      </w:r>
      <w:r>
        <w:t xml:space="preserve">real clinical data when it does.</w:t>
      </w:r>
    </w:p>
    <w:bookmarkEnd w:id="11"/>
    <w:bookmarkStart w:id="12" w:name="Xb3d62584b5b09de89f81cd02ff8bdeb643dc2f4"/>
    <w:p>
      <w:pPr>
        <w:pStyle w:val="Heading2"/>
      </w:pPr>
      <w:r>
        <w:t xml:space="preserve">2.3 Conformal prediction for multi-label and hierarchical label spaces</w:t>
      </w:r>
    </w:p>
    <w:p>
      <w:pPr>
        <w:pStyle w:val="FirstParagraph"/>
        <w:jc w:val="both"/>
      </w:pPr>
      <w:r>
        <w:t xml:space="preserve">Papadopoulos [20] reviews conformal methods for multi-label learning and organises</w:t>
      </w:r>
      <w:r>
        <w:t xml:space="preserve"> </w:t>
      </w:r>
      <w:r>
        <w:t xml:space="preserve">them by output type, guarantee, and where label dependence enters. The review is</w:t>
      </w:r>
      <w:r>
        <w:t xml:space="preserve"> </w:t>
      </w:r>
      <w:r>
        <w:t xml:space="preserve">explicit that the surveyed literature rests on the exchangeability assumption</w:t>
      </w:r>
      <w:r>
        <w:t xml:space="preserve"> </w:t>
      </w:r>
      <w:r>
        <w:t xml:space="preserve">throughout — that is, it treats dependence between labels while assuming</w:t>
      </w:r>
      <w:r>
        <w:t xml:space="preserve"> </w:t>
      </w:r>
      <w:r>
        <w:t xml:space="preserve">independence between samples. Our setting requires the converse.</w:t>
      </w:r>
    </w:p>
    <w:p>
      <w:pPr>
        <w:pStyle w:val="BodyText"/>
        <w:jc w:val="both"/>
      </w:pPr>
      <w:r>
        <w:t xml:space="preserve">Maltoudoglou et al. [21] address the computational cost of Label Powerset</w:t>
      </w:r>
      <w:r>
        <w:t xml:space="preserve"> </w:t>
      </w:r>
      <w:r>
        <w:t xml:space="preserve">conformal prediction by pruning label sets whose</w:t>
      </w:r>
      <w:r>
        <w:t xml:space="preserve"> </w:t>
      </w:r>
      <m:oMath>
        <m:r>
          <m:t>p</m:t>
        </m:r>
      </m:oMath>
      <w:r>
        <w:t xml:space="preserve">-values cannot exceed the</w:t>
      </w:r>
      <w:r>
        <w:t xml:space="preserve"> </w:t>
      </w:r>
      <w:r>
        <w:t xml:space="preserve">significance level. Hierarchical multi-label classification without conformal</w:t>
      </w:r>
      <w:r>
        <w:t xml:space="preserve"> </w:t>
      </w:r>
      <w:r>
        <w:t xml:space="preserve">guarantees is well developed [22], as is its application to clinical</w:t>
      </w:r>
      <w:r>
        <w:t xml:space="preserve"> </w:t>
      </w:r>
      <w:r>
        <w:t xml:space="preserve">recommendation [23].</w:t>
      </w:r>
    </w:p>
    <w:p>
      <w:pPr>
        <w:pStyle w:val="BodyText"/>
        <w:jc w:val="both"/>
      </w:pPr>
      <w:r>
        <w:t xml:space="preserve">Two recent efforts are close enough to require explicit differentiation. Baheri</w:t>
      </w:r>
      <w:r>
        <w:t xml:space="preserve"> </w:t>
      </w:r>
      <w:r>
        <w:t xml:space="preserve">and Amiri Shahbazi [24] define a conformity function at each of several</w:t>
      </w:r>
      <w:r>
        <w:t xml:space="preserve"> </w:t>
      </w:r>
      <w:r>
        <w:t xml:space="preserve">resolutions and intersect the resulting sets, distributing the miscoverage</w:t>
      </w:r>
      <w:r>
        <w:t xml:space="preserve"> </w:t>
      </w:r>
      <w:r>
        <w:t xml:space="preserve">budget across scales; the operation shrinks sets and pays a Bonferroni-type price</w:t>
      </w:r>
      <w:r>
        <w:t xml:space="preserve"> </w:t>
      </w:r>
      <w:r>
        <w:t xml:space="preserve">in coverage. Our hierarchical closure moves in the opposite direction: it</w:t>
      </w:r>
      <w:r>
        <w:t xml:space="preserve"> </w:t>
      </w:r>
      <w:r>
        <w:t xml:space="preserve">enlarges sets upward along the label taxonomy, and coverage is non-decreasing</w:t>
      </w:r>
      <w:r>
        <w:t xml:space="preserve"> </w:t>
      </w:r>
      <w:r>
        <w:t xml:space="preserve">as a result. Zhang et al. [25] represent prediction sets as nodes in a</w:t>
      </w:r>
      <w:r>
        <w:t xml:space="preserve"> </w:t>
      </w:r>
      <w:r>
        <w:t xml:space="preserve">directed acyclic graph, using coarse labels to</w:t>
      </w:r>
      <w:r>
        <w:t xml:space="preserve"> </w:t>
      </w:r>
      <w:r>
        <w:rPr>
          <w:i/>
          <w:iCs/>
        </w:rPr>
        <w:t xml:space="preserve">implicitly represent</w:t>
      </w:r>
      <w:r>
        <w:t xml:space="preserve"> </w:t>
      </w:r>
      <w:r>
        <w:t xml:space="preserve">their</w:t>
      </w:r>
      <w:r>
        <w:t xml:space="preserve"> </w:t>
      </w:r>
      <w:r>
        <w:t xml:space="preserve">descendants — a downward compression, again opposite in direction to upward</w:t>
      </w:r>
      <w:r>
        <w:t xml:space="preserve"> </w:t>
      </w:r>
      <w:r>
        <w:t xml:space="preserve">closure.</w:t>
      </w:r>
    </w:p>
    <w:bookmarkEnd w:id="12"/>
    <w:bookmarkStart w:id="13" w:name="X4e741a49732c3a13a6656c952bf1f83b478a4d6"/>
    <w:p>
      <w:pPr>
        <w:pStyle w:val="Heading2"/>
      </w:pPr>
      <w:r>
        <w:t xml:space="preserve">2.4 Uncertainty quantification for ECG and the inter-patient protocol</w:t>
      </w:r>
    </w:p>
    <w:p>
      <w:pPr>
        <w:pStyle w:val="FirstParagraph"/>
        <w:jc w:val="both"/>
      </w:pPr>
      <w:r>
        <w:t xml:space="preserve">Strodthoff et al. [1] established the benchmark suite for PTB-XL [2], [11], whose</w:t>
      </w:r>
      <w:r>
        <w:t xml:space="preserve"> </w:t>
      </w:r>
      <w:r>
        <w:t xml:space="preserve">residual architectures inform the backbones used here. Evaluation on heartbeat-level arrhythmia data</w:t>
      </w:r>
      <w:r>
        <w:t xml:space="preserve"> </w:t>
      </w:r>
      <w:r>
        <w:t xml:space="preserve">follows the inter-patient protocol, in which no subject contributes to both</w:t>
      </w:r>
      <w:r>
        <w:t xml:space="preserve"> </w:t>
      </w:r>
      <w:r>
        <w:t xml:space="preserve">training and evaluation [26], [27]; violating this separation inflates reported</w:t>
      </w:r>
      <w:r>
        <w:t xml:space="preserve"> </w:t>
      </w:r>
      <w:r>
        <w:t xml:space="preserve">performance and is the single most common methodological error in the area [28].</w:t>
      </w:r>
    </w:p>
    <w:p>
      <w:pPr>
        <w:pStyle w:val="BodyText"/>
        <w:jc w:val="both"/>
      </w:pPr>
      <w:r>
        <w:t xml:space="preserve">Reviews of uncertainty quantification in clinical deep learning [3] and the</w:t>
      </w:r>
      <w:r>
        <w:t xml:space="preserve"> </w:t>
      </w:r>
      <w:r>
        <w:t xml:space="preserve">FUTURE-AI consensus guideline [4] both identify calibrated uncertainty as a</w:t>
      </w:r>
      <w:r>
        <w:t xml:space="preserve"> </w:t>
      </w:r>
      <w:r>
        <w:t xml:space="preserve">prerequisite for deployment, making the requirement a matter of published</w:t>
      </w:r>
      <w:r>
        <w:t xml:space="preserve"> </w:t>
      </w:r>
      <w:r>
        <w:t xml:space="preserve">consensus rather than authorial preference. Conformal prediction specifically in</w:t>
      </w:r>
      <w:r>
        <w:t xml:space="preserve"> </w:t>
      </w:r>
      <w:r>
        <w:t xml:space="preserve">clinical medicine is surveyed in [6], with recent applications to anatomical</w:t>
      </w:r>
      <w:r>
        <w:t xml:space="preserve"> </w:t>
      </w:r>
      <w:r>
        <w:t xml:space="preserve">landmark localisation [29] and multi-label diagnosis coding [7]. Conformal risk</w:t>
      </w:r>
      <w:r>
        <w:t xml:space="preserve"> </w:t>
      </w:r>
      <w:r>
        <w:t xml:space="preserve">control [30] and conformal prediction for time series [31] supply the loss-control</w:t>
      </w:r>
      <w:r>
        <w:t xml:space="preserve"> </w:t>
      </w:r>
      <w:r>
        <w:t xml:space="preserve">and temporal machinery we build on.</w:t>
      </w:r>
    </w:p>
    <w:p>
      <w:pPr>
        <w:pStyle w:val="BodyText"/>
        <w:jc w:val="both"/>
      </w:pPr>
      <w:r>
        <w:t xml:space="preserve">None of these works examines whether the exchangeability assumption underlying</w:t>
      </w:r>
      <w:r>
        <w:t xml:space="preserve"> </w:t>
      </w:r>
      <w:r>
        <w:t xml:space="preserve">their conformal guarantees is satisfiable at the grouping level their data</w:t>
      </w:r>
      <w:r>
        <w:t xml:space="preserve"> </w:t>
      </w:r>
      <w:r>
        <w:t xml:space="preserve">actually possess. That question is the subject of this paper.</w:t>
      </w:r>
    </w:p>
    <w:bookmarkEnd w:id="13"/>
    <w:bookmarkEnd w:id="14"/>
    <w:bookmarkStart w:id="18" w:name="preliminaries-and-notation"/>
    <w:p>
      <w:pPr>
        <w:pStyle w:val="Heading1"/>
      </w:pPr>
      <w:r>
        <w:t xml:space="preserve">3. Preliminaries and Notation</w:t>
      </w:r>
    </w:p>
    <w:bookmarkStart w:id="15" w:name="X25fc5e6cd1c3efadf9fe8f0fadf134fc9f50154"/>
    <w:p>
      <w:pPr>
        <w:pStyle w:val="Heading2"/>
      </w:pPr>
      <w:r>
        <w:t xml:space="preserve">3.1 Hierarchical data and blocked exchangeability</w:t>
      </w:r>
    </w:p>
    <w:p>
      <w:pPr>
        <w:pStyle w:val="FirstParagraph"/>
        <w:jc w:val="both"/>
      </w:pPr>
      <w:r>
        <w:t xml:space="preserve">Sections 3.1–3.2 restate the framework of Lee et al. [9] for completeness of notation; none of it is claimed as ours.</w:t>
      </w:r>
    </w:p>
    <w:p>
      <w:pPr>
        <w:pStyle w:val="BodyText"/>
        <w:jc w:val="both"/>
      </w:pPr>
      <w:r>
        <w:t xml:space="preserve">Let the calibration data consist of</w:t>
      </w:r>
      <w:r>
        <w:t xml:space="preserve"> </w:t>
      </w:r>
      <m:oMath>
        <m:r>
          <m:t>K</m:t>
        </m:r>
      </m:oMath>
      <w:r>
        <w:t xml:space="preserve"> </w:t>
      </w:r>
      <w:r>
        <w:t xml:space="preserve">blocks (groups), where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Write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for the total number of observations. In our clinical setting a block is a patient and an observation is a single 10-second ECG recording, but the framework is agnostic to what defines a block.</w:t>
      </w:r>
    </w:p>
    <w:p>
      <w:pPr>
        <w:pStyle w:val="BodyText"/>
        <w:jc w:val="both"/>
      </w:pPr>
      <w:r>
        <w:t xml:space="preserve">Standard conformal prediction assumes the calibration and test points are exchangeable. Lee et al. [9] show that this fails whenever observations are nested within groups, and introduce hierarchical exchangeability: blocks are exchangeable with one another, and observations are exchangeable</w:t>
      </w:r>
      <w:r>
        <w:t xml:space="preserve"> </w:t>
      </w:r>
      <w:r>
        <w:rPr>
          <w:i/>
          <w:iCs/>
        </w:rPr>
        <w:t xml:space="preserve">within</w:t>
      </w:r>
      <w:r>
        <w:t xml:space="preserve"> </w:t>
      </w:r>
      <w:r>
        <w:t xml:space="preserve">each block, but observations are not exchangeable</w:t>
      </w:r>
      <w:r>
        <w:t xml:space="preserve"> </w:t>
      </w:r>
      <w:r>
        <w:rPr>
          <w:i/>
          <w:iCs/>
        </w:rPr>
        <w:t xml:space="preserve">across</w:t>
      </w:r>
      <w:r>
        <w:t xml:space="preserve"> </w:t>
      </w:r>
      <w:r>
        <w:t xml:space="preserve">the full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denote a nonconformity score, fixed independently of the calibration data, and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Let</w:t>
      </w:r>
    </w:p>
    <w:p>
      <w:pPr>
        <w:pStyle w:val="BodyText"/>
      </w:pPr>
      <m:oMathPara>
        <m:oMathParaPr>
          <m:jc m:val="center"/>
        </m:oMathParaP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m:oMathPara>
    </w:p>
    <w:p>
      <w:pPr>
        <w:pStyle w:val="FirstParagraph"/>
      </w:pPr>
      <w:r>
        <w:t xml:space="preserve">denote 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p>
    <w:bookmarkEnd w:id="15"/>
    <w:bookmarkStart w:id="16" w:name="hierarchical-conformal-prediction-hcp"/>
    <w:p>
      <w:pPr>
        <w:pStyle w:val="Heading2"/>
      </w:pPr>
      <w:r>
        <w:t xml:space="preserve">3.2 Hierarchical conformal prediction (HCP)</w:t>
      </w:r>
    </w:p>
    <w:p>
      <w:pPr>
        <w:pStyle w:val="FirstParagraph"/>
      </w:pPr>
      <w:r>
        <w:t xml:space="preserve">Writing</w:t>
      </w:r>
      <w:r>
        <w:t xml:space="preserve"> </w:t>
      </w:r>
      <m:oMath>
        <m:sSub>
          <m:e>
            <m:r>
              <m:t>K</m:t>
            </m:r>
          </m:e>
          <m:sub>
            <m:r>
              <m:t>1</m:t>
            </m:r>
          </m:sub>
        </m:sSub>
      </m:oMath>
      <w:r>
        <w:t xml:space="preserve"> </w:t>
      </w:r>
      <w:r>
        <w:t xml:space="preserve">for the number of calibration blocks, HCP calibrates the threshold as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Two features of (1) drive everything that follows. First, each block contributes the same total mass</w:t>
      </w:r>
      <w:r>
        <w:t xml:space="preserve"> </w:t>
      </w:r>
      <m:oMath>
        <m:f>
          <m:fPr>
            <m:type m:val="bar"/>
          </m:fPr>
          <m:num>
            <m:r>
              <m:t>1</m:t>
            </m:r>
          </m:num>
          <m:den>
            <m:sSub>
              <m:e>
                <m:r>
                  <m:t>K</m:t>
                </m:r>
              </m:e>
              <m:sub>
                <m:r>
                  <m:t>1</m:t>
                </m:r>
              </m:sub>
            </m:sSub>
            <m:r>
              <m:rPr>
                <m:sty m:val="p"/>
              </m:rPr>
              <m:t>+</m:t>
            </m:r>
            <m:r>
              <m:t>1</m:t>
            </m:r>
          </m:den>
        </m:f>
      </m:oMath>
      <w:r>
        <w:t xml:space="preserve"> </w:t>
      </w:r>
      <w:r>
        <w:t xml:space="preserve">regardless of how many observations it contains; within a block that mass is divided evenly across its</w:t>
      </w:r>
      <w:r>
        <w:t xml:space="preserve"> </w:t>
      </w:r>
      <m:oMath>
        <m:sSub>
          <m:e>
            <m:r>
              <m:t>N</m:t>
            </m:r>
          </m:e>
          <m:sub>
            <m:r>
              <m:t>k</m:t>
            </m:r>
          </m:sub>
        </m:sSub>
      </m:oMath>
      <w:r>
        <w:t xml:space="preserve"> </w:t>
      </w:r>
      <w:r>
        <w:t xml:space="preserve">members. Second, a mass of</w:t>
      </w:r>
      <w:r>
        <w:t xml:space="preserve"> </w:t>
      </w:r>
      <m:oMath>
        <m:f>
          <m:fPr>
            <m:type m:val="bar"/>
          </m:fPr>
          <m:num>
            <m:r>
              <m:t>1</m:t>
            </m:r>
          </m:num>
          <m:den>
            <m:sSub>
              <m:e>
                <m:r>
                  <m:t>K</m:t>
                </m:r>
              </m:e>
              <m:sub>
                <m:r>
                  <m:t>1</m:t>
                </m:r>
              </m:sub>
            </m:sSub>
            <m:r>
              <m:rPr>
                <m:sty m:val="p"/>
              </m:rPr>
              <m:t>+</m:t>
            </m:r>
            <m:r>
              <m:t>1</m:t>
            </m:r>
          </m:den>
        </m:f>
      </m:oMath>
      <w:r>
        <w:t xml:space="preserve"> </w:t>
      </w:r>
      <w:r>
        <w:t xml:space="preserve">is placed at</w:t>
      </w:r>
      <w:r>
        <w:t xml:space="preserve"> </w:t>
      </w:r>
      <m:oMath>
        <m:r>
          <m:rPr>
            <m:sty m:val="p"/>
          </m:rPr>
          <m:t>+</m:t>
        </m:r>
        <m:r>
          <m:rPr>
            <m:sty m:val="p"/>
          </m:rPr>
          <m:t>∞</m:t>
        </m:r>
      </m:oMath>
      <w:r>
        <w:t xml:space="preserve">, which is the price of not knowing the test block in advance.</w:t>
      </w:r>
    </w:p>
    <w:p>
      <w:pPr>
        <w:pStyle w:val="BodyText"/>
      </w:pPr>
      <w:r>
        <w:t xml:space="preserve">Lee et al. [9, Th. 1] prove the two-sided guarantee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t>  </m:t>
          </m:r>
          <m:r>
            <m:rPr>
              <m:nor/>
              <m:sty m:val="p"/>
            </m:rPr>
            <m:t>(2)</m:t>
          </m:r>
        </m:oMath>
      </m:oMathPara>
    </w:p>
    <w:p>
      <w:pPr>
        <w:pStyle w:val="FirstParagraph"/>
      </w:pPr>
      <w:r>
        <w:t xml:space="preserve">for a test point drawn from a previously unseen block.</w:t>
      </w:r>
    </w:p>
    <w:bookmarkEnd w:id="16"/>
    <w:bookmarkStart w:id="17" w:name="label-hierarchy"/>
    <w:p>
      <w:pPr>
        <w:pStyle w:val="Heading2"/>
      </w:pPr>
      <w:r>
        <w:t xml:space="preserve">3.3 Label hierarchy</w:t>
      </w:r>
    </w:p>
    <w:p>
      <w:pPr>
        <w:pStyle w:val="FirstParagraph"/>
        <w:jc w:val="both"/>
      </w:pPr>
      <w:r>
        <w:t xml:space="preserve">PTB-XL organises diagnoses as a three-level tree: 5 diagnostic superclasses, 23 subclasses, and 44 diagnostic SCP statements. A recording may carry several labels simultaneously, so the target is a</w:t>
      </w:r>
      <w:r>
        <w:t xml:space="preserve"> </w:t>
      </w:r>
      <w:r>
        <w:rPr>
          <w:i/>
          <w:iCs/>
        </w:rPr>
        <w:t xml:space="preserve">set</w:t>
      </w:r>
      <w:r>
        <w:t xml:space="preserve"> </w:t>
      </w:r>
      <m:oMath>
        <m:r>
          <m:t>Y</m:t>
        </m:r>
        <m:r>
          <m:rPr>
            <m:sty m:val="p"/>
          </m:rPr>
          <m:t>⊆</m:t>
        </m:r>
        <m:r>
          <m:rPr>
            <m:scr m:val="script"/>
            <m:sty m:val="p"/>
          </m:rPr>
          <m:t>L</m:t>
        </m:r>
      </m:oMath>
      <w:r>
        <w:t xml:space="preserve"> </w:t>
      </w:r>
      <w:r>
        <w:t xml:space="preserve">rather than a single class. We write</w:t>
      </w:r>
      <w:r>
        <w:t xml:space="preserve"> </w:t>
      </w:r>
      <m:oMath>
        <m:r>
          <m:rPr>
            <m:sty m:val="p"/>
          </m:rPr>
          <m:t>p</m:t>
        </m:r>
        <m:r>
          <m:rPr>
            <m:sty m:val="p"/>
          </m:rPr>
          <m:t>a</m:t>
        </m:r>
        <m:r>
          <m:rPr>
            <m:sty m:val="p"/>
          </m:rPr>
          <m:t>r</m:t>
        </m:r>
        <m:r>
          <m:rPr>
            <m:sty m:val="p"/>
          </m:rPr>
          <m:t>e</m:t>
        </m:r>
        <m:r>
          <m:rPr>
            <m:sty m:val="p"/>
          </m:rPr>
          <m:t>n</m:t>
        </m:r>
        <m:r>
          <m:rPr>
            <m:sty m:val="p"/>
          </m:rPr>
          <m:t>t</m:t>
        </m:r>
        <m:r>
          <m:rPr>
            <m:sty m:val="p"/>
          </m:rPr>
          <m:t>(</m:t>
        </m:r>
        <m:r>
          <m:t>ℓ</m:t>
        </m:r>
        <m:r>
          <m:rPr>
            <m:sty m:val="p"/>
          </m:rPr>
          <m:t>)</m:t>
        </m:r>
      </m:oMath>
      <w:r>
        <w:t xml:space="preserve"> </w:t>
      </w:r>
      <w:r>
        <w:t xml:space="preserve">for the parent of label</w:t>
      </w:r>
      <w:r>
        <w:t xml:space="preserve"> </w:t>
      </w:r>
      <m:oMath>
        <m:r>
          <m:t>ℓ</m:t>
        </m:r>
      </m:oMath>
      <w:r>
        <w:t xml:space="preserve"> </w:t>
      </w:r>
      <w:r>
        <w:t xml:space="preserve">and call a set</w:t>
      </w:r>
      <w:r>
        <w:t xml:space="preserve"> </w:t>
      </w:r>
      <m:oMath>
        <m:r>
          <m:rPr>
            <m:scr m:val="script"/>
            <m:sty m:val="p"/>
          </m:rPr>
          <m:t>C</m:t>
        </m:r>
      </m:oMath>
      <w:r>
        <w:t xml:space="preserve"> </w:t>
      </w:r>
      <w:r>
        <w:t xml:space="preserve">upward closed if</w:t>
      </w:r>
      <w:r>
        <w:t xml:space="preserve"> </w:t>
      </w:r>
      <m:oMath>
        <m:r>
          <m:t>ℓ</m:t>
        </m:r>
        <m:r>
          <m:rPr>
            <m:sty m:val="p"/>
          </m:rPr>
          <m:t>∈</m:t>
        </m:r>
        <m:r>
          <m:rPr>
            <m:scr m:val="script"/>
            <m:sty m:val="p"/>
          </m:rPr>
          <m:t>C</m:t>
        </m:r>
        <m:r>
          <m:rPr>
            <m:sty m:val="p"/>
          </m:rPr>
          <m:t>⇒</m:t>
        </m:r>
        <m:r>
          <m:rPr>
            <m:sty m:val="p"/>
          </m:rPr>
          <m:t>p</m:t>
        </m:r>
        <m:r>
          <m:rPr>
            <m:sty m:val="p"/>
          </m:rPr>
          <m:t>a</m:t>
        </m:r>
        <m:r>
          <m:rPr>
            <m:sty m:val="p"/>
          </m:rPr>
          <m:t>r</m:t>
        </m:r>
        <m:r>
          <m:rPr>
            <m:sty m:val="p"/>
          </m:rPr>
          <m:t>e</m:t>
        </m:r>
        <m:r>
          <m:rPr>
            <m:sty m:val="p"/>
          </m:rPr>
          <m:t>n</m:t>
        </m:r>
        <m:r>
          <m:rPr>
            <m:sty m:val="p"/>
          </m:rPr>
          <m:t>t</m:t>
        </m:r>
        <m:r>
          <m:rPr>
            <m:sty m:val="p"/>
          </m:rPr>
          <m:t>(</m:t>
        </m:r>
        <m:r>
          <m:t>ℓ</m:t>
        </m:r>
        <m:r>
          <m:rPr>
            <m:sty m:val="p"/>
          </m:rPr>
          <m:t>)</m:t>
        </m:r>
        <m:r>
          <m:rPr>
            <m:sty m:val="p"/>
          </m:rPr>
          <m:t>∈</m:t>
        </m:r>
        <m:r>
          <m:rPr>
            <m:scr m:val="script"/>
            <m:sty m:val="p"/>
          </m:rPr>
          <m:t>C</m:t>
        </m:r>
      </m:oMath>
      <w:r>
        <w:t xml:space="preserve">.</w:t>
      </w:r>
    </w:p>
    <w:p>
      <w:r>
        <w:pict>
          <v:rect style="width:0;height:1.5pt" o:hralign="center" o:hrstd="t" o:hr="t"/>
        </w:pict>
      </w:r>
    </w:p>
    <w:bookmarkEnd w:id="17"/>
    <w:bookmarkEnd w:id="18"/>
    <w:bookmarkStart w:id="22" w:name="problem-formulation"/>
    <w:p>
      <w:pPr>
        <w:pStyle w:val="Heading1"/>
      </w:pPr>
      <w:r>
        <w:t xml:space="preserve">4. Problem Formulation</w:t>
      </w:r>
    </w:p>
    <w:p>
      <w:pPr>
        <w:pStyle w:val="FirstParagraph"/>
        <w:jc w:val="both"/>
      </w:pPr>
      <w:r>
        <w:t xml:space="preserve">Equation (1) is a complete recipe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given. It does not, however, say anything about</w:t>
      </w:r>
      <w:r>
        <w:t xml:space="preserve"> </w:t>
      </w:r>
      <w:r>
        <w:rPr>
          <w:i/>
          <w:iCs/>
        </w:rPr>
        <w:t xml:space="preserve">whether the resulting guarantee carries any information</w:t>
      </w:r>
      <w:r>
        <w:t xml:space="preserve">. That is the question we take up.</w:t>
      </w:r>
    </w:p>
    <w:bookmarkStart w:id="19" w:name="when-is-a-non-trivial-guarantee-possible"/>
    <w:p>
      <w:pPr>
        <w:pStyle w:val="Heading2"/>
      </w:pPr>
      <w:r>
        <w:t xml:space="preserve">4.1 When is a non-trivial guarantee possible?</w:t>
      </w:r>
    </w:p>
    <w:p>
      <w:pPr>
        <w:pStyle w:val="FirstParagraph"/>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pPr>
      <w:r>
        <w:rPr>
          <w:i/>
          <w:iCs/>
        </w:rPr>
        <w:t xml:space="preserve">Proof.</w:t>
      </w:r>
      <w:r>
        <w:t xml:space="preserve"> </w:t>
      </w:r>
      <w:r>
        <w:t xml:space="preserve">The finite atoms in (1) carry total mass</w:t>
      </w:r>
    </w:p>
    <w:p>
      <w:pPr>
        <w:pStyle w:val="BodyText"/>
      </w:pPr>
      <m:oMathPara>
        <m:oMathParaPr>
          <m:jc m:val="center"/>
        </m:oMathParaPr>
        <m:oMath>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rPr>
              <m:sty m:val="p"/>
            </m:rPr>
            <m:t>=</m:t>
          </m:r>
          <m:nary>
            <m:naryPr>
              <m:chr m:val="∑"/>
              <m:limLoc m:val="undOvr"/>
              <m:subHide m:val="off"/>
              <m:supHide m:val="on"/>
            </m:naryPr>
            <m:sub>
              <m:r>
                <m:t>k</m:t>
              </m:r>
            </m:sub>
            <m:sup>
              <m:r>
                <m:t>​</m:t>
              </m:r>
            </m:sup>
            <m:e>
              <m:f>
                <m:fPr>
                  <m:type m:val="bar"/>
                </m:fPr>
                <m:num>
                  <m:sSub>
                    <m:e>
                      <m:r>
                        <m:t>N</m:t>
                      </m:r>
                    </m:e>
                    <m:sub>
                      <m:r>
                        <m:t>k</m:t>
                      </m:r>
                    </m:sub>
                  </m:sSub>
                </m:num>
                <m:den>
                  <m:r>
                    <m:rPr>
                      <m:sty m:val="p"/>
                    </m:rPr>
                    <m:t>(</m:t>
                  </m:r>
                  <m:sSub>
                    <m:e>
                      <m:r>
                        <m:t>K</m:t>
                      </m:r>
                    </m:e>
                    <m:sub>
                      <m:r>
                        <m:t>1</m:t>
                      </m:r>
                    </m:sub>
                  </m:sSub>
                  <m:r>
                    <m:rPr>
                      <m:sty m:val="p"/>
                    </m:rPr>
                    <m:t>+</m:t>
                  </m:r>
                  <m:r>
                    <m:t>1</m:t>
                  </m:r>
                  <m:r>
                    <m:rPr>
                      <m:sty m:val="p"/>
                    </m:rPr>
                    <m:t>)</m:t>
                  </m:r>
                  <m:sSub>
                    <m:e>
                      <m:r>
                        <m:t>N</m:t>
                      </m:r>
                    </m:e>
                    <m:sub>
                      <m:r>
                        <m:t>k</m:t>
                      </m:r>
                    </m:sub>
                  </m:sSub>
                </m:den>
              </m:f>
            </m:e>
          </m:nary>
          <m:r>
            <m:rPr>
              <m:sty m:val="p"/>
            </m:rPr>
            <m:t>=</m:t>
          </m:r>
          <m:f>
            <m:fPr>
              <m:type m:val="bar"/>
            </m:fPr>
            <m:num>
              <m:sSub>
                <m:e>
                  <m:r>
                    <m:t>K</m:t>
                  </m:r>
                </m:e>
                <m:sub>
                  <m:r>
                    <m:t>1</m:t>
                  </m:r>
                </m:sub>
              </m:sSub>
            </m:num>
            <m:den>
              <m:sSub>
                <m:e>
                  <m:r>
                    <m:t>K</m:t>
                  </m:r>
                </m:e>
                <m:sub>
                  <m:r>
                    <m:t>1</m:t>
                  </m:r>
                </m:sub>
              </m:sSub>
              <m:r>
                <m:rPr>
                  <m:sty m:val="p"/>
                </m:rPr>
                <m:t>+</m:t>
              </m:r>
              <m:r>
                <m:t>1</m:t>
              </m:r>
            </m:den>
          </m:f>
          <m:r>
            <m:rPr>
              <m:sty m:val="p"/>
            </m:rPr>
            <m:t>.</m:t>
          </m:r>
        </m:oMath>
      </m:oMathPara>
    </w:p>
    <w:p>
      <w:pPr>
        <w:pStyle w:val="FirstParagraph"/>
        <w:jc w:val="both"/>
      </w:pPr>
      <w:r>
        <w:t xml:space="preserve">Let</w:t>
      </w:r>
      <w:r>
        <w:t xml:space="preserve"> </w:t>
      </w:r>
      <m:oMath>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w:t>
      </w:r>
      <w:r>
        <w:t xml:space="preserve">and let</w:t>
      </w:r>
      <w:r>
        <w:t xml:space="preserve"> </w:t>
      </w:r>
      <m:oMath>
        <m:acc>
          <m:accPr>
            <m:chr m:val="̂"/>
          </m:accPr>
          <m:e>
            <m:r>
              <m:t>F</m:t>
            </m:r>
          </m:e>
        </m:acc>
      </m:oMath>
      <w:r>
        <w:t xml:space="preserve"> </w:t>
      </w:r>
      <w:r>
        <w:t xml:space="preserve">denote the weighted CDF in (1). Then</w:t>
      </w:r>
      <w:r>
        <w:t xml:space="preserve"> </w:t>
      </w:r>
      <m:oMath>
        <m:acc>
          <m:accPr>
            <m:chr m:val="̂"/>
          </m:accPr>
          <m:e>
            <m:r>
              <m:t>F</m:t>
            </m:r>
          </m:e>
        </m:acc>
        <m:r>
          <m:rPr>
            <m:sty m:val="p"/>
          </m:rPr>
          <m:t>(</m:t>
        </m:r>
        <m:r>
          <m:t>t</m:t>
        </m:r>
        <m:r>
          <m:rPr>
            <m:sty m:val="p"/>
          </m:rPr>
          <m:t>)</m:t>
        </m:r>
        <m:r>
          <m:rPr>
            <m:sty m:val="p"/>
          </m:rPr>
          <m:t>≤</m:t>
        </m:r>
        <m:f>
          <m:fPr>
            <m:type m:val="bar"/>
          </m:fPr>
          <m:num>
            <m:sSub>
              <m:e>
                <m:r>
                  <m:t>K</m:t>
                </m:r>
              </m:e>
              <m:sub>
                <m:r>
                  <m:t>1</m:t>
                </m:r>
              </m:sub>
            </m:sSub>
          </m:num>
          <m:den>
            <m:sSub>
              <m:e>
                <m:r>
                  <m:t>K</m:t>
                </m:r>
              </m:e>
              <m:sub>
                <m:r>
                  <m:t>1</m:t>
                </m:r>
              </m:sub>
            </m:sSub>
            <m:r>
              <m:rPr>
                <m:sty m:val="p"/>
              </m:rPr>
              <m:t>+</m:t>
            </m:r>
            <m:r>
              <m:t>1</m:t>
            </m:r>
          </m:den>
        </m:f>
      </m:oMath>
      <w:r>
        <w:t xml:space="preserve"> </w:t>
      </w:r>
      <w:r>
        <w:t xml:space="preserve">for every finite</w:t>
      </w:r>
      <w:r>
        <w:t xml:space="preserve"> </w:t>
      </w:r>
      <m:oMath>
        <m:r>
          <m:t>t</m:t>
        </m:r>
      </m:oMath>
      <w:r>
        <w:t xml:space="preserve">, with equality at</w:t>
      </w:r>
      <w:r>
        <w:t xml:space="preserve"> </w:t>
      </w:r>
      <m:oMath>
        <m:r>
          <m:t>t</m:t>
        </m:r>
        <m:r>
          <m:rPr>
            <m:sty m:val="p"/>
          </m:rPr>
          <m:t>=</m:t>
        </m:r>
        <m:r>
          <m:t>M</m:t>
        </m:r>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 the threshold is finite iff</w:t>
      </w:r>
      <w:r>
        <w:t xml:space="preserve"> </w:t>
      </w:r>
      <m:oMath>
        <m:f>
          <m:fPr>
            <m:type m:val="bar"/>
          </m:fPr>
          <m:num>
            <m:sSub>
              <m:e>
                <m:r>
                  <m:t>K</m:t>
                </m:r>
              </m:e>
              <m:sub>
                <m:r>
                  <m:t>1</m:t>
                </m:r>
              </m:sub>
            </m:sSub>
          </m:num>
          <m:den>
            <m:sSub>
              <m:e>
                <m:r>
                  <m:t>K</m:t>
                </m:r>
              </m:e>
              <m:sub>
                <m:r>
                  <m:t>1</m:t>
                </m:r>
              </m:sub>
            </m:sSub>
            <m:r>
              <m:rPr>
                <m:sty m:val="p"/>
              </m:rPr>
              <m:t>+</m:t>
            </m:r>
            <m:r>
              <m:t>1</m:t>
            </m:r>
          </m:den>
        </m:f>
        <m:r>
          <m:rPr>
            <m:sty m:val="p"/>
          </m:rPr>
          <m:t>≥</m:t>
        </m:r>
        <m:r>
          <m:t>1</m:t>
        </m:r>
        <m:r>
          <m:rPr>
            <m:sty m:val="p"/>
          </m:rPr>
          <m:t>−</m:t>
        </m:r>
        <m:r>
          <m:t>α</m:t>
        </m:r>
      </m:oMath>
      <w:r>
        <w:t xml:space="preserve">.</w:t>
      </w:r>
      <w:r>
        <w:t xml:space="preserve"> </w:t>
      </w:r>
      <m:oMath>
        <m:r>
          <m:rPr>
            <m:sty m:val="p"/>
          </m:rPr>
          <m:t>▫</m:t>
        </m:r>
      </m:oMath>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the guarantee (2) holds vacuously and conveys nothing.</w:t>
      </w:r>
    </w:p>
    <w:p>
      <w:pPr>
        <w:pStyle w:val="BodyText"/>
        <w:jc w:val="both"/>
      </w:pPr>
      <w:r>
        <w:rPr>
          <w:b/>
          <w:bCs/>
        </w:rPr>
        <w:t xml:space="preserve">Corollary 1.1 (independence of</w:t>
      </w:r>
      <w:r>
        <w:rPr>
          <w:b/>
          <w:bCs/>
        </w:rPr>
        <w:t xml:space="preserve"> </w:t>
      </w:r>
      <m:oMath>
        <m:sSub>
          <m:e>
            <m:r>
              <m:t>N</m:t>
            </m:r>
          </m:e>
          <m:sub>
            <m:r>
              <m:t>k</m:t>
            </m:r>
          </m:sub>
        </m:sSub>
      </m:oMath>
      <w:r>
        <w:rPr>
          <w:b/>
          <w:bCs/>
        </w:rPr>
        <w:t xml:space="preserve">).</w:t>
      </w:r>
      <w:r>
        <w:t xml:space="preserve"> </w:t>
      </w:r>
      <w:r>
        <w:t xml:space="preserve">The right-hand side of (3) does not involve</w:t>
      </w:r>
      <w:r>
        <w:t xml:space="preserve"> </w:t>
      </w:r>
      <m:oMath>
        <m:sSub>
          <m:e>
            <m:r>
              <m:t>N</m:t>
            </m:r>
          </m:e>
          <m:sub>
            <m:r>
              <m:t>k</m:t>
            </m:r>
          </m:sub>
        </m:sSub>
      </m:oMath>
      <w:r>
        <w:t xml:space="preserve">. Collecting more measurements per block can never restore feasibility, no matter how many are collected.</w:t>
      </w:r>
    </w:p>
    <w:p>
      <w:pPr>
        <w:pStyle w:val="BodyText"/>
        <w:jc w:val="both"/>
      </w:pPr>
      <w:r>
        <w:rPr>
          <w:b/>
          <w:bCs/>
        </w:rPr>
        <w:t xml:space="preserve">Corollary 1.2.</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blocks, not 20.</w:t>
      </w:r>
    </w:p>
    <w:p>
      <w:pPr>
        <w:pStyle w:val="BodyText"/>
        <w:jc w:val="both"/>
      </w:pPr>
      <w:r>
        <w:rPr>
          <w:b/>
          <w:bCs/>
        </w:rPr>
        <w:t xml:space="preserve">Corollary 1.3 (consistency with split conformal).</w:t>
      </w:r>
      <w:r>
        <w:t xml:space="preserve"> </w:t>
      </w:r>
      <w:r>
        <w:t xml:space="preserve">If</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w:t>
      </w:r>
      <w:r>
        <w:t xml:space="preserve">then</w:t>
      </w:r>
      <w:r>
        <w:t xml:space="preserve"> </w:t>
      </w:r>
      <m:oMath>
        <m:sSub>
          <m:e>
            <m:r>
              <m:t>K</m:t>
            </m:r>
          </m:e>
          <m:sub>
            <m:r>
              <m:t>1</m:t>
            </m:r>
          </m:sub>
        </m:sSub>
        <m:r>
          <m:rPr>
            <m:sty m:val="p"/>
          </m:rPr>
          <m:t>=</m:t>
        </m:r>
        <m:r>
          <m:t>n</m:t>
        </m:r>
      </m:oMath>
      <w:r>
        <w:t xml:space="preserve"> </w:t>
      </w:r>
      <w:r>
        <w:t xml:space="preserve">and (3) reduces to</w:t>
      </w:r>
      <w:r>
        <w:t xml:space="preserve"> </w:t>
      </w:r>
      <m:oMath>
        <m:r>
          <m:t>n</m:t>
        </m:r>
        <m:r>
          <m:rPr>
            <m:sty m:val="p"/>
          </m:rPr>
          <m:t>≥</m:t>
        </m:r>
        <m:r>
          <m:t>1</m:t>
        </m:r>
        <m:r>
          <m:rPr>
            <m:sty m:val="p"/>
          </m:rPr>
          <m:t>/</m:t>
        </m:r>
        <m:r>
          <m:t>α</m:t>
        </m:r>
        <m:r>
          <m:rPr>
            <m:sty m:val="p"/>
          </m:rPr>
          <m:t>−</m:t>
        </m:r>
        <m:r>
          <m:t>1</m:t>
        </m:r>
      </m:oMath>
      <w:r>
        <w:t xml:space="preserve">, the textbook requirement for split conformal. We verified this numerically as a check on both the derivation and the implementation.</w:t>
      </w:r>
    </w:p>
    <w:p>
      <w:pPr>
        <w:pStyle w:val="BodyText"/>
        <w:jc w:val="both"/>
      </w:pPr>
      <w:r>
        <w:rPr>
          <w:b/>
          <w:bCs/>
        </w:rPr>
        <w:t xml:space="preserve">Remark (strictness).</w:t>
      </w:r>
      <w:r>
        <w:t xml:space="preserve"> </w:t>
      </w:r>
      <w:r>
        <w:t xml:space="preserve">An earlier version of this work stated (3) as a strict inequality. That is wrong at the boundary: at</w:t>
      </w:r>
      <w:r>
        <w:t xml:space="preserve"> </w:t>
      </w:r>
      <m:oMath>
        <m:r>
          <m:t>α</m:t>
        </m:r>
        <m:r>
          <m:rPr>
            <m:sty m:val="p"/>
          </m:rPr>
          <m:t>=</m:t>
        </m:r>
        <m:f>
          <m:fPr>
            <m:type m:val="bar"/>
          </m:fPr>
          <m:num>
            <m:r>
              <m:t>1</m:t>
            </m:r>
          </m:num>
          <m:den>
            <m:sSub>
              <m:e>
                <m:r>
                  <m:t>K</m:t>
                </m:r>
              </m:e>
              <m:sub>
                <m:r>
                  <m:t>1</m:t>
                </m:r>
              </m:sub>
            </m:sSub>
            <m:r>
              <m:rPr>
                <m:sty m:val="p"/>
              </m:rPr>
              <m:t>+</m:t>
            </m:r>
            <m:r>
              <m:t>1</m:t>
            </m:r>
          </m:den>
        </m:f>
      </m:oMath>
      <w:r>
        <w:t xml:space="preserve"> </w:t>
      </w:r>
      <w:r>
        <w:t xml:space="preserve">exactly, the finite mass</w:t>
      </w:r>
      <w:r>
        <w:t xml:space="preserve"> </w:t>
      </w:r>
      <m:oMath>
        <m:f>
          <m:fPr>
            <m:type m:val="bar"/>
          </m:fPr>
          <m:num>
            <m:sSub>
              <m:e>
                <m:r>
                  <m:t>K</m:t>
                </m:r>
              </m:e>
              <m:sub>
                <m:r>
                  <m:t>1</m:t>
                </m:r>
              </m:sub>
            </m:sSub>
          </m:num>
          <m:den>
            <m:sSub>
              <m:e>
                <m:r>
                  <m:t>K</m:t>
                </m:r>
              </m:e>
              <m:sub>
                <m:r>
                  <m:t>1</m:t>
                </m:r>
              </m:sub>
            </m:sSub>
            <m:r>
              <m:rPr>
                <m:sty m:val="p"/>
              </m:rPr>
              <m:t>+</m:t>
            </m:r>
            <m:r>
              <m:t>1</m:t>
            </m:r>
          </m:den>
        </m:f>
      </m:oMath>
      <w:r>
        <w:t xml:space="preserve"> </w:t>
      </w:r>
      <w:r>
        <w:rPr>
          <w:i/>
          <w:iCs/>
        </w:rPr>
        <w:t xml:space="preserve">equals</w:t>
      </w:r>
      <w:r>
        <w:t xml:space="preserve"> </w:t>
      </w:r>
      <w:r>
        <w:t xml:space="preserve">the level</w:t>
      </w:r>
      <w:r>
        <w:t xml:space="preserve"> </w:t>
      </w:r>
      <m:oMath>
        <m:r>
          <m:t>1</m:t>
        </m:r>
        <m:r>
          <m:rPr>
            <m:sty m:val="p"/>
          </m:rPr>
          <m:t>−</m:t>
        </m:r>
        <m:r>
          <m:t>α</m:t>
        </m:r>
      </m:oMath>
      <w:r>
        <w:t xml:space="preserve">, so the infimum is attained at</w:t>
      </w:r>
      <w:r>
        <w:t xml:space="preserve"> </w:t>
      </w:r>
      <m:oMath>
        <m:r>
          <m:t>M</m:t>
        </m:r>
      </m:oMath>
      <w:r>
        <w:t xml:space="preserve"> </w:t>
      </w:r>
      <w:r>
        <w:t xml:space="preserve">and the threshold is finite. Simulation at</w:t>
      </w:r>
      <w:r>
        <w:t xml:space="preserve"> </w:t>
      </w:r>
      <m:oMath>
        <m:sSub>
          <m:e>
            <m:r>
              <m:t>K</m:t>
            </m:r>
          </m:e>
          <m:sub>
            <m:r>
              <m:t>1</m:t>
            </m:r>
          </m:sub>
        </m:sSub>
        <m:r>
          <m:rPr>
            <m:sty m:val="p"/>
          </m:rPr>
          <m:t>=</m:t>
        </m:r>
        <m:r>
          <m:t>19</m:t>
        </m:r>
        <m:r>
          <m:rPr>
            <m:sty m:val="p"/>
          </m:rPr>
          <m:t>,</m:t>
        </m:r>
        <m:r>
          <m:t>α</m:t>
        </m:r>
        <m:r>
          <m:rPr>
            <m:sty m:val="p"/>
          </m:rPr>
          <m:t>=</m:t>
        </m:r>
        <m:r>
          <m:t>0.05</m:t>
        </m:r>
      </m:oMath>
      <w:r>
        <w:t xml:space="preserve"> </w:t>
      </w:r>
      <w:r>
        <w:t xml:space="preserve">gives empirical coverage</w:t>
      </w:r>
      <w:r>
        <w:t xml:space="preserve"> </w:t>
      </w:r>
      <m:oMath>
        <m:r>
          <m:t>0.9512</m:t>
        </m:r>
        <m:r>
          <m:rPr>
            <m:sty m:val="p"/>
          </m:rPr>
          <m:t>≥</m:t>
        </m:r>
        <m:r>
          <m:t>0.95</m:t>
        </m:r>
      </m:oMath>
      <w:r>
        <w:t xml:space="preserve">. We report the correction because the non-strict form is what makes Corollary 1.3 line up with the standard split-conformal condition — a useful cross-check for readers.</w:t>
      </w:r>
    </w:p>
    <w:bookmarkEnd w:id="19"/>
    <w:bookmarkStart w:id="20" w:name="X1fa66aeff815efda11a4c9af10795ff76629295"/>
    <w:p>
      <w:pPr>
        <w:pStyle w:val="Heading2"/>
      </w:pPr>
      <w:r>
        <w:t xml:space="preserve">4.2 Multiple dependence sources and crossed designs</w:t>
      </w:r>
    </w:p>
    <w:p>
      <w:pPr>
        <w:pStyle w:val="FirstParagraph"/>
        <w:jc w:val="both"/>
      </w:pPr>
      <w:r>
        <w:t xml:space="preserve">Real clinical datasets carry several candidate blocking variables at once: patient, device, operator, site.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 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entirely inside a single</w:t>
      </w:r>
      <w:r>
        <w:t xml:space="preserve"> </w:t>
      </w:r>
      <m:oMath>
        <m:r>
          <m:rPr>
            <m:scr m:val="script"/>
            <m:sty m:val="p"/>
          </m:rPr>
          <m:t>Q</m:t>
        </m:r>
      </m:oMath>
      <w:r>
        <w:t xml:space="preserve">-block.</w:t>
      </w:r>
    </w:p>
    <w:p>
      <w:pPr>
        <w:pStyle w:val="BodyText"/>
        <w:jc w:val="both"/>
      </w:pPr>
      <w:r>
        <w:t xml:space="preserve">If</w:t>
      </w:r>
      <w:r>
        <w:t xml:space="preserve"> </w:t>
      </w:r>
      <m:oMath>
        <m:r>
          <m:rPr>
            <m:scr m:val="script"/>
            <m:sty m:val="p"/>
          </m:rPr>
          <m:t>Q</m:t>
        </m:r>
      </m:oMath>
      <w:r>
        <w:t xml:space="preserve"> </w:t>
      </w:r>
      <w:r>
        <w:t xml:space="preserve">is not sufficient for</w:t>
      </w:r>
      <w:r>
        <w:t xml:space="preserve"> </w:t>
      </w:r>
      <m:oMath>
        <m:r>
          <m:rPr>
            <m:scr m:val="script"/>
            <m:sty m:val="p"/>
          </m:rPr>
          <m:t>P</m:t>
        </m:r>
      </m:oMath>
      <w:r>
        <w:t xml:space="preserve">, then dependent observations are split across different</w:t>
      </w:r>
      <w:r>
        <w:t xml:space="preserve"> </w:t>
      </w:r>
      <m:oMath>
        <m:r>
          <m:rPr>
            <m:scr m:val="script"/>
            <m:sty m:val="p"/>
          </m:rPr>
          <m:t>Q</m:t>
        </m:r>
      </m:oMath>
      <w:r>
        <w:t xml:space="preserve">-blocks and are treated as independent — exactly the error the hierarchical machinery exists to prevent.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 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 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 the partition lattice: the connected components of the graph linking two 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 This is a standard fact about the partition lattice; we state it because its consequence for conformal calibration is what matters here.</w:t>
      </w:r>
    </w:p>
    <w:p>
      <w:pPr>
        <w:pStyle w:val="BodyText"/>
      </w:pPr>
      <w:r>
        <w:rPr>
          <w:b/>
          <w:bCs/>
        </w:rPr>
        <w:t xml:space="preserve">Corollary 2.1.</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hence</w:t>
      </w:r>
    </w:p>
    <w:p>
      <w:pPr>
        <w:pStyle w:val="BodyText"/>
      </w:pPr>
      <m:oMathPara>
        <m:oMathParaPr>
          <m:jc m:val="center"/>
        </m:oMathParaP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t> </m:t>
          </m:r>
          <m:r>
            <m:rPr>
              <m:sty m:val="p"/>
            </m:rPr>
            <m:t>≥</m:t>
          </m:r>
          <m:r>
            <m:t> </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r>
            <m:rPr>
              <m:sty m:val="p"/>
            </m:rPr>
            <m:t>.</m:t>
          </m:r>
        </m:oMath>
      </m:oMathPara>
    </w:p>
    <w:p>
      <w:pPr>
        <w:pStyle w:val="FirstParagraph"/>
        <w:jc w:val="both"/>
      </w:pPr>
      <w:r>
        <w:rPr>
          <w:b/>
          <w:bCs/>
        </w:rPr>
        <w:t xml:space="preserve">Corollary 2.2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w:t>
      </w:r>
      <w:r>
        <w:t xml:space="preserve">then no HCP calibration yields a non-trivial guarantee at level</w:t>
      </w:r>
      <w:r>
        <w:t xml:space="preserve"> </w:t>
      </w:r>
      <m:oMath>
        <m:r>
          <m:t>α</m:t>
        </m:r>
      </m:oMath>
      <w:r>
        <w:t xml:space="preserve"> </w:t>
      </w:r>
      <w:r>
        <w:t xml:space="preserve">while accounting for both dependence sources. The same holds for any number of sources with their joint join. This is a property of the study design, not a shortcoming of any estimator.</w:t>
      </w:r>
    </w:p>
    <w:p>
      <w:pPr>
        <w:pStyle w:val="BodyText"/>
        <w:jc w:val="both"/>
      </w:pPr>
      <w:r>
        <w:rPr>
          <w:b/>
          <w:bCs/>
        </w:rPr>
        <w:t xml:space="preserve">Scope of Corollary 2.2.</w:t>
      </w:r>
      <w:r>
        <w:t xml:space="preserve"> </w:t>
      </w:r>
      <w:r>
        <w:t xml:space="preserve">We prove Corollary 2.2 for the HCP/Dunn family. Whether it extends to every distribution-free method whose validity rests on between-block exchangeability remains open. We conjecture that it does, by analogy with the unavoidability of the</w:t>
      </w:r>
      <w:r>
        <w:t xml:space="preserve"> </w:t>
      </w:r>
      <m:oMath>
        <m:r>
          <m:t>n</m:t>
        </m:r>
        <m:r>
          <m:rPr>
            <m:sty m:val="p"/>
          </m:rPr>
          <m:t>≥</m:t>
        </m:r>
        <m:r>
          <m:t>1</m:t>
        </m:r>
        <m:r>
          <m:rPr>
            <m:sty m:val="p"/>
          </m:rPr>
          <m:t>/</m:t>
        </m:r>
        <m:r>
          <m:t>α</m:t>
        </m:r>
        <m:r>
          <m:rPr>
            <m:sty m:val="p"/>
          </m:rPr>
          <m:t>−</m:t>
        </m:r>
        <m:r>
          <m:t>1</m:t>
        </m:r>
      </m:oMath>
      <w:r>
        <w:t xml:space="preserve"> </w:t>
      </w:r>
      <w:r>
        <w:t xml:space="preserve">requirement for split conformal, but we do not claim it.</w:t>
      </w:r>
    </w:p>
    <w:bookmarkEnd w:id="20"/>
    <w:bookmarkStart w:id="21" w:name="X97431b323c4987209ce3ec216df687e6d054f79"/>
    <w:p>
      <w:pPr>
        <w:pStyle w:val="Heading2"/>
      </w:pPr>
      <w:r>
        <w:t xml:space="preserve">4.3 What the guarantee is</w:t>
      </w:r>
      <w:r>
        <w:t xml:space="preserve"> </w:t>
      </w:r>
      <w:r>
        <w:rPr>
          <w:i/>
          <w:iCs/>
        </w:rPr>
        <w:t xml:space="preserve">about</w:t>
      </w:r>
      <w:r>
        <w:t xml:space="preserve">: multi-label targets</w:t>
      </w:r>
    </w:p>
    <w:p>
      <w:pPr>
        <w:pStyle w:val="FirstParagraph"/>
        <w:jc w:val="both"/>
      </w:pPr>
      <w:r>
        <w:t xml:space="preserve">For multi-label outputs the notion of coverage must be chosen, not inherited. We use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Superset coverage (4) is not a new result. Theorem 1 never touches the structure of the label space; it only requires a fixed scalar score. 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makes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We present this as method, not contribution.</w:t>
      </w:r>
    </w:p>
    <w:p>
      <w:pPr>
        <w:pStyle w:val="BodyText"/>
      </w:pPr>
      <w:r>
        <w:t xml:space="preserve">The 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pPr>
      <w:r>
        <w:t xml:space="preserve">which does not reduce, and which we take up in §5.3.</w:t>
      </w:r>
    </w:p>
    <w:p>
      <w:pPr>
        <w:pStyle w:val="BodyText"/>
        <w:jc w:val="both"/>
      </w:pPr>
      <w:r>
        <w:rPr>
          <w:b/>
          <w:bCs/>
        </w:rPr>
        <w:t xml:space="preserve">Records with</w:t>
      </w:r>
      <w:r>
        <w:rPr>
          <w:b/>
          <w:bCs/>
        </w:rPr>
        <w:t xml:space="preserve"> </w:t>
      </w:r>
      <m:oMath>
        <m:r>
          <m:t>Y</m:t>
        </m:r>
        <m:r>
          <m:rPr>
            <m:sty m:val="p"/>
          </m:rPr>
          <m:t>=</m:t>
        </m:r>
        <m:r>
          <m:rPr>
            <m:sty m:val="p"/>
          </m:rPr>
          <m:t>∅</m:t>
        </m:r>
      </m:oMath>
      <w:r>
        <w:rPr>
          <w:b/>
          <w:bCs/>
        </w:rPr>
        <w:t xml:space="preserve">.</w:t>
      </w:r>
      <w:r>
        <w:t xml:space="preserve"> </w:t>
      </w:r>
      <w:r>
        <w:t xml:space="preserve">In PTB-XL, 411 recordings (1.9%) carry no diagnostic superclass. Under (4) these are covered trivially, so including them would inflate measured coverage without evidence. We exclude them from calibration and evaluation and report the exclusion.</w:t>
      </w:r>
    </w:p>
    <w:bookmarkEnd w:id="21"/>
    <w:bookmarkEnd w:id="22"/>
    <w:bookmarkStart w:id="36" w:name="methods"/>
    <w:p>
      <w:pPr>
        <w:pStyle w:val="Heading1"/>
      </w:pPr>
      <w:r>
        <w:t xml:space="preserve">5. Methods</w:t>
      </w:r>
    </w:p>
    <w:p>
      <w:pPr>
        <w:pStyle w:val="FirstParagraph"/>
        <w:jc w:val="both"/>
      </w:pPr>
      <w:r>
        <w:t xml:space="preserve">This study introduces no new conformal procedure. It audits an existing one —</w:t>
      </w:r>
      <w:r>
        <w:t xml:space="preserve"> </w:t>
      </w:r>
      <w:r>
        <w:t xml:space="preserve">hierarchical conformal prediction (HCP) [9] — on clinical ECG data, using three</w:t>
      </w:r>
      <w:r>
        <w:t xml:space="preserve"> </w:t>
      </w:r>
      <w:r>
        <w:t xml:space="preserve">diagnostics assembled from established results. We state the provenance of each</w:t>
      </w:r>
      <w:r>
        <w:t xml:space="preserve"> </w:t>
      </w:r>
      <w:r>
        <w:t xml:space="preserve">diagnostic where it is introduced, so that the reader can separate the tools we</w:t>
      </w:r>
      <w:r>
        <w:t xml:space="preserve"> </w:t>
      </w:r>
      <w:r>
        <w:t xml:space="preserve">borrow from the findings we report in §8.</w:t>
      </w:r>
    </w:p>
    <w:p>
      <w:pPr>
        <w:pStyle w:val="BodyText"/>
        <w:jc w:val="both"/>
      </w:pPr>
      <w:r>
        <w:t xml:space="preserve">Throughout,</w:t>
      </w:r>
      <w:r>
        <w:t xml:space="preserve"> </w:t>
      </w:r>
      <m:oMath>
        <m:sSub>
          <m:e>
            <m:r>
              <m:t>K</m:t>
            </m:r>
          </m:e>
          <m:sub>
            <m:r>
              <m:t>1</m:t>
            </m:r>
          </m:sub>
        </m:sSub>
      </m:oMath>
      <w:r>
        <w:t xml:space="preserve"> </w:t>
      </w:r>
      <w:r>
        <w:t xml:space="preserve">denotes the number of calibration blocks,</w:t>
      </w:r>
      <w:r>
        <w:t xml:space="preserve"> </w:t>
      </w:r>
      <m:oMath>
        <m:sSub>
          <m:e>
            <m:r>
              <m:t>N</m:t>
            </m:r>
          </m:e>
          <m:sub>
            <m:r>
              <m:t>k</m:t>
            </m:r>
          </m:sub>
        </m:sSub>
      </m:oMath>
      <w:r>
        <w:t xml:space="preserve"> </w:t>
      </w:r>
      <w:r>
        <w:t xml:space="preserve">the number of</w:t>
      </w:r>
      <w:r>
        <w:t xml:space="preserve"> </w:t>
      </w:r>
      <w:r>
        <w:t xml:space="preserve">observations in block</w:t>
      </w:r>
      <w:r>
        <w:t xml:space="preserve"> </w:t>
      </w:r>
      <m:oMath>
        <m:r>
          <m:t>k</m:t>
        </m:r>
      </m:oMath>
      <w:r>
        <w:t xml:space="preserv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the harmonic mean of the</w:t>
      </w:r>
      <w:r>
        <w:t xml:space="preserve"> </w:t>
      </w:r>
      <m:oMath>
        <m:sSub>
          <m:e>
            <m:r>
              <m:t>N</m:t>
            </m:r>
          </m:e>
          <m:sub>
            <m:r>
              <m:t>k</m:t>
            </m:r>
          </m:sub>
        </m:sSub>
      </m:oMath>
      <w:r>
        <w:t xml:space="preserve">.</w:t>
      </w:r>
      <w:r>
        <w:t xml:space="preserve"> </w:t>
      </w:r>
      <w:r>
        <w:t xml:space="preserve">We write</w:t>
      </w:r>
      <w:r>
        <w:t xml:space="preserve"> </w:t>
      </w:r>
      <m:oMath>
        <m:r>
          <m:t>ρ</m:t>
        </m:r>
        <m:r>
          <m:rPr>
            <m:sty m:val="p"/>
          </m:rPr>
          <m:t>(</m:t>
        </m:r>
        <m:r>
          <m:t>t</m:t>
        </m:r>
        <m:r>
          <m:rPr>
            <m:sty m:val="p"/>
          </m:rPr>
          <m:t>)</m:t>
        </m:r>
      </m:oMath>
      <w:r>
        <w:t xml:space="preserve"> </w:t>
      </w:r>
      <w:r>
        <w:t xml:space="preserve">for the intraclass correlation of the indicator</w:t>
      </w:r>
      <w:r>
        <w:t xml:space="preserve"> </w:t>
      </w:r>
      <m:oMath>
        <m:r>
          <m:rPr>
            <m:scr m:val="double-struck"/>
            <m:sty m:val="p"/>
          </m:rPr>
          <m:t>1</m:t>
        </m:r>
        <m:r>
          <m:rPr>
            <m:sty m:val="p"/>
          </m:rPr>
          <m:t>{</m:t>
        </m:r>
        <m:r>
          <m:t>s</m:t>
        </m:r>
        <m:r>
          <m:rPr>
            <m:sty m:val="p"/>
          </m:rPr>
          <m:t>≤</m:t>
        </m:r>
        <m:r>
          <m:t>t</m:t>
        </m:r>
        <m:r>
          <m:rPr>
            <m:sty m:val="p"/>
          </m:rPr>
          <m:t>}</m:t>
        </m:r>
      </m:oMath>
      <w:r>
        <w:t xml:space="preserve"> </w:t>
      </w:r>
      <w:r>
        <w:t xml:space="preserve">at threshold</w:t>
      </w:r>
      <w:r>
        <w:t xml:space="preserve"> </w:t>
      </w:r>
      <m:oMath>
        <m:r>
          <m:t>t</m:t>
        </m:r>
      </m:oMath>
      <w:r>
        <w:t xml:space="preserve"> </w:t>
      </w:r>
      <w:r>
        <w:t xml:space="preserve">— not of the raw score.</w:t>
      </w:r>
    </w:p>
    <w:bookmarkStart w:id="27" w:name="X19d174b7dd8885c97c8015fa73b4f6a91b5078d"/>
    <w:p>
      <w:pPr>
        <w:pStyle w:val="Heading2"/>
      </w:pPr>
      <w:r>
        <w:t xml:space="preserve">5.1 Whether a finite threshold exists, and how precise it is</w:t>
      </w:r>
    </w:p>
    <w:bookmarkStart w:id="23" w:name="X6a4b6b3faa779bc7a446fea215c499cb0cc96f8"/>
    <w:p>
      <w:pPr>
        <w:pStyle w:val="Heading3"/>
      </w:pPr>
      <w:r>
        <w:t xml:space="preserve">5.1.1 Existence depends on the number of calibration blocks alone</w:t>
      </w:r>
    </w:p>
    <w:p>
      <w:pPr>
        <w:pStyle w:val="FirstParagraph"/>
        <w:jc w:val="both"/>
      </w:pPr>
      <w:r>
        <w:t xml:space="preserve">By Proposition 1 (§4.1), a finite HCP threshold exists if and only if</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The proposition restates a consequence of the</w:t>
      </w:r>
      <w:r>
        <w:t xml:space="preserve"> </w:t>
      </w:r>
      <m:oMath>
        <m:r>
          <m:rPr>
            <m:sty m:val="p"/>
          </m:rPr>
          <m:t>+</m:t>
        </m:r>
        <m:r>
          <m:rPr>
            <m:sty m:val="p"/>
          </m:rPr>
          <m:t>∞</m:t>
        </m:r>
      </m:oMath>
      <w:r>
        <w:t xml:space="preserve"> </w:t>
      </w:r>
      <w:r>
        <w:t xml:space="preserve">atom in Theorem 1 of [9] in a form that can be checked from metadata, and we</w:t>
      </w:r>
      <w:r>
        <w:t xml:space="preserve"> </w:t>
      </w:r>
      <w:r>
        <w:t xml:space="preserve">claim nothing beyond that. Two consequences matter for the audit. First, the</w:t>
      </w:r>
      <w:r>
        <w:t xml:space="preserve"> </w:t>
      </w:r>
      <w:r>
        <w:t xml:space="preserve">boundary does not involve</w:t>
      </w:r>
      <w:r>
        <w:t xml:space="preserve"> </w:t>
      </w:r>
      <m:oMath>
        <m:sSub>
          <m:e>
            <m:r>
              <m:t>N</m:t>
            </m:r>
          </m:e>
          <m:sub>
            <m:r>
              <m:t>k</m:t>
            </m:r>
          </m:sub>
        </m:sSub>
      </m:oMath>
      <w:r>
        <w:t xml:space="preserve">: adding observations to existing blocks cannot</w:t>
      </w:r>
      <w:r>
        <w:t xml:space="preserve"> </w:t>
      </w:r>
      <w:r>
        <w:t xml:space="preserve">make an infeasible level feasible. Second, the inequality is not strict, so a</w:t>
      </w:r>
      <w:r>
        <w:t xml:space="preserve"> </w:t>
      </w:r>
      <w:r>
        <w:t xml:space="preserve">grouping whose</w:t>
      </w:r>
      <w:r>
        <w:t xml:space="preserve"> </w:t>
      </w:r>
      <m:oMath>
        <m:sSub>
          <m:e>
            <m:r>
              <m:t>K</m:t>
            </m:r>
          </m:e>
          <m:sub>
            <m:r>
              <m:t>1</m:t>
            </m:r>
          </m:sub>
        </m:sSub>
      </m:oMath>
      <w:r>
        <w:t xml:space="preserve"> </w:t>
      </w:r>
      <w:r>
        <w:t xml:space="preserve">lies exactly on the boundary is feasible; an off-by-one here</w:t>
      </w:r>
      <w:r>
        <w:t xml:space="preserve"> </w:t>
      </w:r>
      <w:r>
        <w:t xml:space="preserve">would silently misreport it.</w:t>
      </w:r>
    </w:p>
    <w:bookmarkEnd w:id="23"/>
    <w:bookmarkStart w:id="24" w:name="X398c41a3c724c9e4f6e1f582e1187153082b854"/>
    <w:p>
      <w:pPr>
        <w:pStyle w:val="Heading3"/>
      </w:pPr>
      <w:r>
        <w:t xml:space="preserve">5.1.2 Precision under a compound-symmetric model</w:t>
      </w:r>
    </w:p>
    <w:p>
      <w:pPr>
        <w:pStyle w:val="FirstParagraph"/>
        <w:jc w:val="both"/>
      </w:pPr>
      <w:r>
        <w:t xml:space="preserve">What follows is not distribution-free. It requires Assumption (A): blocks</w:t>
      </w:r>
      <w:r>
        <w:t xml:space="preserve"> </w:t>
      </w:r>
      <w:r>
        <w:t xml:space="preserve">are independent and identically distributed, and within a block every pair of</w:t>
      </w:r>
      <w:r>
        <w:t xml:space="preserve"> </w:t>
      </w:r>
      <w:r>
        <w:t xml:space="preserve">indicators has the same correlation</w:t>
      </w:r>
      <w:r>
        <w:t xml:space="preserve"> </w:t>
      </w:r>
      <m:oMath>
        <m:r>
          <m:t>ρ</m:t>
        </m:r>
        <m:r>
          <m:rPr>
            <m:sty m:val="p"/>
          </m:rPr>
          <m:t>(</m:t>
        </m:r>
        <m:r>
          <m:t>t</m:t>
        </m:r>
        <m:r>
          <m:rPr>
            <m:sty m:val="p"/>
          </m:rPr>
          <m:t>)</m:t>
        </m:r>
      </m:oMath>
      <w:r>
        <w:t xml:space="preserve">, not depending on</w:t>
      </w:r>
      <w:r>
        <w:t xml:space="preserve"> </w:t>
      </w:r>
      <m:oMath>
        <m:sSub>
          <m:e>
            <m:r>
              <m:t>N</m:t>
            </m:r>
          </m:e>
          <m:sub>
            <m:r>
              <m:t>k</m:t>
            </m:r>
          </m:sub>
        </m:sSub>
      </m:oMath>
      <w:r>
        <w:t xml:space="preserve"> </w:t>
      </w:r>
      <w:r>
        <w:t xml:space="preserve">(compound symmetry).</w:t>
      </w:r>
    </w:p>
    <w:p>
      <w:pPr>
        <w:pStyle w:val="BodyText"/>
        <w:jc w:val="both"/>
      </w:pPr>
      <w:r>
        <w:t xml:space="preserve">Rewriting the HCP threshold shows that it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mean of block-level</w:t>
      </w:r>
      <w:r>
        <w:t xml:space="preserve"> </w:t>
      </w:r>
      <w:r>
        <w:t xml:space="preserve">empirical CDFs. Under (A), the standard variance of an unweighted mean of cluster</w:t>
      </w:r>
      <w:r>
        <w:t xml:space="preserve"> </w:t>
      </w:r>
      <w:r>
        <w:t xml:space="preserve">means applies [32]:</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(6)</m:t>
          </m:r>
        </m:oMath>
      </m:oMathPara>
    </w:p>
    <w:p>
      <w:pPr>
        <w:pStyle w:val="FirstParagraph"/>
        <w:jc w:val="both"/>
      </w:pPr>
      <w:r>
        <w:t xml:space="preserve">Under (A) the variance tends to</w:t>
      </w:r>
      <w:r>
        <w:t xml:space="preserve"> </w:t>
      </w:r>
      <m:oMath>
        <m:sSup>
          <m:e>
            <m:r>
              <m:t>σ</m:t>
            </m:r>
          </m:e>
          <m:sup>
            <m:r>
              <m:t>2</m:t>
            </m:r>
          </m:sup>
        </m:sSup>
        <m:r>
          <m:t>ρ</m:t>
        </m:r>
        <m:r>
          <m:rPr>
            <m:sty m:val="p"/>
          </m:rPr>
          <m:t>/</m:t>
        </m:r>
        <m:sSub>
          <m:e>
            <m:r>
              <m:t>K</m:t>
            </m:r>
          </m:e>
          <m:sub>
            <m:r>
              <m:t>1</m:t>
            </m:r>
          </m:sub>
        </m:sSub>
      </m:oMath>
      <w:r>
        <w:t xml:space="preserve"> </w:t>
      </w:r>
      <w:r>
        <w:t xml:space="preserve">as</w:t>
      </w:r>
      <w:r>
        <w:t xml:space="preserve"> </w:t>
      </w:r>
      <m:oMath>
        <m:sSub>
          <m:e>
            <m:r>
              <m:t>N</m:t>
            </m:r>
          </m:e>
          <m:sub>
            <m:r>
              <m:t>k</m:t>
            </m:r>
          </m:sub>
        </m:sSub>
        <m:r>
          <m:rPr>
            <m:sty m:val="p"/>
          </m:rPr>
          <m:t>→</m:t>
        </m:r>
        <m:r>
          <m:rPr>
            <m:sty m:val="p"/>
          </m:rPr>
          <m:t>∞</m:t>
        </m:r>
      </m:oMath>
      <w:r>
        <w:t xml:space="preserve">. This floor</w:t>
      </w:r>
      <w:r>
        <w:t xml:space="preserve"> </w:t>
      </w:r>
      <w:r>
        <w:t xml:space="preserve">is a property of compound symmetry, not of clustered data in general. If</w:t>
      </w:r>
      <w:r>
        <w:t xml:space="preserve"> </w:t>
      </w:r>
      <w:r>
        <w:t xml:space="preserve">within-block correlation decays with separation — as plausibly holds for</w:t>
      </w:r>
      <w:r>
        <w:t xml:space="preserve"> </w:t>
      </w:r>
      <w:r>
        <w:t xml:space="preserve">consecutive beats within a long Holter record — the mean pairwise correlation can</w:t>
      </w:r>
      <w:r>
        <w:t xml:space="preserve"> </w:t>
      </w:r>
      <w:r>
        <w:t xml:space="preserve">shrink with</w:t>
      </w:r>
      <w:r>
        <w:t xml:space="preserve"> </w:t>
      </w:r>
      <m:oMath>
        <m:sSub>
          <m:e>
            <m:r>
              <m:t>N</m:t>
            </m:r>
          </m:e>
          <m:sub>
            <m:r>
              <m:t>k</m:t>
            </m:r>
          </m:sub>
        </m:sSub>
      </m:oMath>
      <w:r>
        <w:t xml:space="preserve"> </w:t>
      </w:r>
      <w:r>
        <w:t xml:space="preserve">and the floor disappears. We make no claim outside (A).</w:t>
      </w:r>
    </w:p>
    <w:bookmarkEnd w:id="24"/>
    <w:bookmarkStart w:id="25" w:name="X99cecc21f7834c4751755f87ac2fe0cd7a6a4f3"/>
    <w:p>
      <w:pPr>
        <w:pStyle w:val="Heading3"/>
      </w:pPr>
      <w:r>
        <w:t xml:space="preserve">5.1.3 The equal weighting is imposed, not chosen</w:t>
      </w:r>
    </w:p>
    <w:p>
      <w:pPr>
        <w:pStyle w:val="FirstParagraph"/>
        <w:jc w:val="both"/>
      </w:pPr>
      <w:r>
        <w:t xml:space="preserve">The variance above belongs to the block-weighted estimator. The Kish effective</w:t>
      </w:r>
      <w:r>
        <w:t xml:space="preserve"> </w:t>
      </w:r>
      <w:r>
        <w:t xml:space="preserve">sample size describes a different, observation-weighted estimator, and the two</w:t>
      </w:r>
      <w:r>
        <w:t xml:space="preserve"> </w:t>
      </w:r>
      <w:r>
        <w:t xml:space="preserve">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(7)</m:t>
          </m:r>
        </m:oMath>
      </m:oMathPara>
    </w:p>
    <w:p>
      <w:pPr>
        <w:pStyle w:val="FirstParagraph"/>
        <w:jc w:val="both"/>
      </w:pPr>
      <w:r>
        <w:t xml:space="preserve">The second expression is the standard clustering design effect for unequal cluster</w:t>
      </w:r>
      <w:r>
        <w:t xml:space="preserve"> </w:t>
      </w:r>
      <w:r>
        <w:t xml:space="preserve">sizes, and comparing design effects under equal versus size weighting of cluster</w:t>
      </w:r>
      <w:r>
        <w:t xml:space="preserve"> </w:t>
      </w:r>
      <w:r>
        <w:t xml:space="preserve">means is established practice in cluster-randomised trials [33], [34]. We use both</w:t>
      </w:r>
      <w:r>
        <w:t xml:space="preserve"> </w:t>
      </w:r>
      <w:r>
        <w:t xml:space="preserve">formulas as given.</w:t>
      </w:r>
    </w:p>
    <w:p>
      <w:pPr>
        <w:pStyle w:val="BodyText"/>
        <w:jc w:val="both"/>
      </w:pPr>
      <w:r>
        <w:t xml:space="preserve">What differs in the conformal setting is not the formula but the freedom to choose.</w:t>
      </w:r>
      <w:r>
        <w:t xml:space="preserve"> </w:t>
      </w:r>
      <w:r>
        <w:t xml:space="preserve">In a cluster-randomised trial, equal weighting is an analyst’s choice and is known</w:t>
      </w:r>
      <w:r>
        <w:t xml:space="preserve"> </w:t>
      </w:r>
      <w:r>
        <w:t xml:space="preserve">to be inefficient under unequal cluster sizes; the standard remedy is</w:t>
      </w:r>
      <w:r>
        <w:t xml:space="preserve"> </w:t>
      </w:r>
      <w:r>
        <w:t xml:space="preserve">minimum-variance weighting [33], [34]. In HCP the</w:t>
      </w:r>
      <w:r>
        <w:t xml:space="preserve"> </w:t>
      </w:r>
      <w:r>
        <w:t xml:space="preserve">equal weighting follows from the structure of the threshold itself, and departing</w:t>
      </w:r>
      <w:r>
        <w:t xml:space="preserve"> </w:t>
      </w:r>
      <w:r>
        <w:t xml:space="preserve">from it can break the finite-sample guarantee rather than merely cost efficiency:</w:t>
      </w:r>
      <w:r>
        <w:t xml:space="preserve"> </w:t>
      </w: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places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becomes</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 The practitioner is therefore held to the estimator that</w:t>
      </w:r>
      <w:r>
        <w:t xml:space="preserve"> </w:t>
      </w:r>
      <w:r>
        <w:t xml:space="preserve">cluster-sampling theory identifies as most affected by block imbalance, without</w:t>
      </w:r>
      <w:r>
        <w:t xml:space="preserve"> </w:t>
      </w:r>
      <w:r>
        <w:t xml:space="preserve">access to its usual remedy. We report this as an observation about the setting;</w:t>
      </w:r>
      <w:r>
        <w:t xml:space="preserve"> </w:t>
      </w:r>
      <w:r>
        <w:t xml:space="preserve">we do not prove that equal weights are the only valid choice.</w:t>
      </w:r>
    </w:p>
    <w:p>
      <w:pPr>
        <w:pStyle w:val="BodyText"/>
        <w:jc w:val="both"/>
      </w:pPr>
      <w:r>
        <w:t xml:space="preserve">On PTB-XL the two design effects differ by a factor of 15.7 at the recording</w:t>
      </w:r>
      <w:r>
        <w:t xml:space="preserve"> </w:t>
      </w:r>
      <w:r>
        <w:t xml:space="preserve">site level. On</w:t>
      </w:r>
      <w:r>
        <w:t xml:space="preserve"> </w:t>
      </w:r>
      <w:r>
        <w:rPr>
          <w:rStyle w:val="VerbatimChar"/>
        </w:rPr>
        <w:t xml:space="preserve">strat_fold</w:t>
      </w:r>
      <w:r>
        <w:t xml:space="preserve">, whose blocks are nearly uniform by construction, the</w:t>
      </w:r>
      <w:r>
        <w:t xml:space="preserve"> </w:t>
      </w:r>
      <w:r>
        <w:t xml:space="preserve">ratio is 1.000 — an internal check of the computation.</w:t>
      </w:r>
    </w:p>
    <w:bookmarkEnd w:id="25"/>
    <w:bookmarkStart w:id="26" w:name="the-axis-used-to-organise-results"/>
    <w:p>
      <w:pPr>
        <w:pStyle w:val="Heading3"/>
      </w:pPr>
      <w:r>
        <w:t xml:space="preserve">5.1.4 The axis used to organise results</w:t>
      </w:r>
    </w:p>
    <w:p>
      <w:pPr>
        <w:pStyle w:val="FirstParagraph"/>
        <w:jc w:val="both"/>
      </w:pPr>
      <w:r>
        <w:t xml:space="preserve">The audit in §8 needs an axis on which datasets with very different block geometry</w:t>
      </w:r>
      <w:r>
        <w:t xml:space="preserve"> </w:t>
      </w:r>
      <w:r>
        <w:t xml:space="preserve">can be compared. We use the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of (6).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quantity predicts that dependence is harmless</w:t>
      </w:r>
      <w:r>
        <w:t xml:space="preserve"> </w:t>
      </w:r>
      <w:r>
        <w:t xml:space="preserve">whenever blocks are near-singleton, however strong the within-block correlation;</w:t>
      </w:r>
      <w:r>
        <w:t xml:space="preserve"> </w:t>
      </w:r>
      <w:r>
        <w:t xml:space="preserve">raw</w:t>
      </w:r>
      <w:r>
        <w:t xml:space="preserve"> </w:t>
      </w:r>
      <m:oMath>
        <m:r>
          <m:t>ρ</m:t>
        </m:r>
      </m:oMath>
      <w:r>
        <w:t xml:space="preserve"> </w:t>
      </w:r>
      <w:r>
        <w:t xml:space="preserve">alone predicts the opposite. The primary analysis computes</w:t>
      </w:r>
      <w:r>
        <w:t xml:space="preserve"> </w:t>
      </w:r>
      <m:oMath>
        <m:r>
          <m:t>ρ</m:t>
        </m:r>
      </m:oMath>
      <w:r>
        <w:t xml:space="preserve"> </w:t>
      </w:r>
      <w:r>
        <w:t xml:space="preserve">from</w:t>
      </w:r>
      <w:r>
        <w:t xml:space="preserve"> </w:t>
      </w:r>
      <w:r>
        <w:t xml:space="preserve">conformity scores; because (6) is stated for the threshold indicator, we repeat</w:t>
      </w:r>
      <w:r>
        <w:t xml:space="preserve"> </w:t>
      </w:r>
      <w:r>
        <w:t xml:space="preserve">it with the indicator correlation</w:t>
      </w:r>
      <w:r>
        <w:t xml:space="preserve"> </w:t>
      </w:r>
      <m:oMath>
        <m:r>
          <m:t>ρ</m:t>
        </m:r>
        <m:r>
          <m:rPr>
            <m:sty m:val="p"/>
          </m:rPr>
          <m:t>(</m:t>
        </m:r>
        <m:r>
          <m:t>t</m:t>
        </m:r>
        <m:r>
          <m:rPr>
            <m:sty m:val="p"/>
          </m:rPr>
          <m:t>)</m:t>
        </m:r>
      </m:oMath>
      <w:r>
        <w:t xml:space="preserve"> </w:t>
      </w:r>
      <w:r>
        <w:t xml:space="preserve">(§8.4). When this axis was adopted is</w:t>
      </w:r>
      <w:r>
        <w:t xml:space="preserve"> </w:t>
      </w:r>
      <w:r>
        <w:t xml:space="preserve">recorded in §10.6.</w:t>
      </w:r>
    </w:p>
    <w:p>
      <w:pPr>
        <w:pStyle w:val="BodyText"/>
        <w:jc w:val="both"/>
      </w:pPr>
      <w:r>
        <w:t xml:space="preserve">We use this quantity only as an ordering axis, not as a calibrated effective</w:t>
      </w:r>
      <w:r>
        <w:t xml:space="preserve"> </w:t>
      </w:r>
      <w:r>
        <w:t xml:space="preserve">sample size. Noonan [35] derives a closed-form effective sample size for</w:t>
      </w:r>
      <w:r>
        <w:t xml:space="preserve"> </w:t>
      </w:r>
      <w:r>
        <w:t xml:space="preserve">thresholds under clustering and shows that the correction currently used in the</w:t>
      </w:r>
      <w:r>
        <w:t xml:space="preserve"> </w:t>
      </w:r>
      <w:r>
        <w:t xml:space="preserve">conformal literature is the wrong quantity. Our axis shares its central ingredient</w:t>
      </w:r>
      <w:r>
        <w:t xml:space="preserve"> </w:t>
      </w:r>
      <w:r>
        <w:t xml:space="preserve">— the correlation of threshold indicators rather than of scores — but is a</w:t>
      </w:r>
      <w:r>
        <w:t xml:space="preserve"> </w:t>
      </w:r>
      <w:r>
        <w:t xml:space="preserve">heuristic under Assumption (A), and we defer to that work for the principled</w:t>
      </w:r>
      <w:r>
        <w:t xml:space="preserve"> </w:t>
      </w:r>
      <w:r>
        <w:t xml:space="preserve">quantity.</w:t>
      </w:r>
    </w:p>
    <w:bookmarkEnd w:id="26"/>
    <w:bookmarkEnd w:id="27"/>
    <w:bookmarkStart w:id="28" w:name="X2f6a8c7b9e0c620a0236c2ed533b64a13dca72a"/>
    <w:p>
      <w:pPr>
        <w:pStyle w:val="Heading2"/>
      </w:pPr>
      <w:r>
        <w:t xml:space="preserve">5.2 Which calibration groupings are admissible</w:t>
      </w:r>
    </w:p>
    <w:p>
      <w:pPr>
        <w:pStyle w:val="FirstParagraph"/>
        <w:jc w:val="both"/>
      </w:pPr>
      <w:r>
        <w:t xml:space="preserve">A practitioner choosing a calibration grouping</w:t>
      </w:r>
      <w:r>
        <w:t xml:space="preserve"> </w:t>
      </w:r>
      <m:oMath>
        <m:r>
          <m:t>g</m:t>
        </m:r>
      </m:oMath>
      <w:r>
        <w:t xml:space="preserve"> </w:t>
      </w:r>
      <w:r>
        <w:t xml:space="preserve">faces two requirements</w:t>
      </w:r>
      <w:r>
        <w:t xml:space="preserve"> </w:t>
      </w:r>
      <w:r>
        <w:t xml:space="preserve">(Table I).</w:t>
      </w:r>
    </w:p>
    <w:p>
      <w:pPr>
        <w:pStyle w:val="BodyText"/>
        <w:keepNext/>
        <w:spacing w:before="160"/>
        <w:jc w:val="center"/>
      </w:pPr>
      <w:r/>
      <w:r/>
      <m:oMath>
        <m:r>
          <m:t>g</m:t>
        </m:r>
      </m:oMath>
      <w:r/>
      <w:r>
        <w:rPr>
          <w:sz w:val="18"/>
        </w:rPr>
        <w:t>TABLE I</w:t>
      </w:r>
      <w:r>
        <w:br/>
      </w:r>
      <w:r>
        <w:rPr>
          <w:sz w:val="16"/>
        </w:rPr>
        <w:t>ADMISSIBILITY CONDITIONS FOR A CALIBRATION GROUPING .</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pPr>
            <w:r>
              <w:rPr>
                <w:b/>
                <w:sz w:val="17"/>
              </w:rPr>
              <w:t xml:space="preserve">Condition</w:t>
            </w:r>
          </w:p>
        </w:tc>
        <w:tc>
          <w:tcPr/>
          <w:p>
            <w:pPr>
              <w:pStyle w:val="Compact"/>
            </w:pPr>
            <w:r>
              <w:rPr>
                <w:b/>
                <w:sz w:val="17"/>
              </w:rPr>
              <w:t xml:space="preserve">Character</w:t>
            </w:r>
          </w:p>
        </w:tc>
      </w:tr>
      <w:tr>
        <w:tc>
          <w:tcPr/>
          <w:p>
            <w:pPr>
              <w:pStyle w:val="Compact"/>
            </w:pPr>
            <w:r>
              <w:rPr>
                <w:sz w:val="17"/>
              </w:rPr>
              <w:t xml:space="preserve">S1 Feasibility</w:t>
            </w:r>
          </w:p>
        </w:tc>
        <w:tc>
          <w:tcPr/>
          <w:p>
            <w:pPr>
              <w:pStyle w:val="Compact"/>
            </w:pP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p>
        </w:tc>
        <w:tc>
          <w:tcPr/>
          <w:p>
            <w:pPr>
              <w:pStyle w:val="Compact"/>
            </w:pPr>
            <w:r>
              <w:rPr>
                <w:sz w:val="17"/>
              </w:rPr>
              <w:t xml:space="preserve">exact, from Proposition 1</w:t>
            </w:r>
          </w:p>
        </w:tc>
      </w:tr>
      <w:tr>
        <w:tc>
          <w:tcPr/>
          <w:p>
            <w:pPr>
              <w:pStyle w:val="Compact"/>
            </w:pPr>
            <w:r>
              <w:rPr>
                <w:sz w:val="17"/>
              </w:rPr>
              <w:t xml:space="preserve">S2 Sufficiency</w:t>
            </w:r>
          </w:p>
        </w:tc>
        <w:tc>
          <w:tcPr/>
          <w:p>
            <w:pPr>
              <w:pStyle w:val="Compact"/>
            </w:pPr>
            <w:r>
              <w:rPr>
                <w:sz w:val="17"/>
              </w:rPr>
              <w:t xml:space="preserve">every declared dependence source is nested within</w:t>
            </w:r>
            <w:r>
              <w:rPr>
                <w:sz w:val="17"/>
              </w:rPr>
              <w:t xml:space="preserve"> </w:t>
            </w:r>
            <m:oMath>
              <m:r>
                <m:t>g</m:t>
              </m:r>
            </m:oMath>
          </w:p>
        </w:tc>
        <w:tc>
          <w:tcPr/>
          <w:p>
            <w:pPr>
              <w:pStyle w:val="Compact"/>
            </w:pPr>
            <w:r>
              <w:rPr>
                <w:sz w:val="17"/>
              </w:rPr>
              <w:t xml:space="preserve">exact, given the declaration</w:t>
            </w:r>
          </w:p>
        </w:tc>
      </w:tr>
    </w:tbl>
    <w:p>
      <w:pPr>
        <w:pStyle w:val="BodyText"/>
        <w:jc w:val="both"/>
      </w:pPr>
      <w:r>
        <w:t xml:space="preserve">S1 alone is insufficient: a grouping can admit a finite threshold while leaving</w:t>
      </w:r>
      <w:r>
        <w:t xml:space="preserve"> </w:t>
      </w:r>
      <w:r>
        <w:t xml:space="preserve">dependence unaccounted for across its blocks. S2 is only as complete as the list</w:t>
      </w:r>
      <w:r>
        <w:t xml:space="preserve"> </w:t>
      </w:r>
      <w:r>
        <w:t xml:space="preserve">of dependence sources supplied to it. It verifies nesting for declared sources;</w:t>
      </w:r>
      <w:r>
        <w:t xml:space="preserve"> </w:t>
      </w:r>
      <w:r>
        <w:t xml:space="preserve">an undeclared source passes vacuously. S2 is therefore a check on the consistency</w:t>
      </w:r>
      <w:r>
        <w:t xml:space="preserve"> </w:t>
      </w:r>
      <w:r>
        <w:t xml:space="preserve">of a stated assumption, not a test of it.</w:t>
      </w:r>
    </w:p>
    <w:p>
      <w:pPr>
        <w:pStyle w:val="BodyText"/>
        <w:jc w:val="both"/>
      </w:pPr>
      <w:r>
        <w:t xml:space="preserve">When declared sources are crossed rather than nested, the finest grouping</w:t>
      </w:r>
      <w:r>
        <w:t xml:space="preserve"> </w:t>
      </w:r>
      <w:r>
        <w:t xml:space="preserve">satisfying S2 for all of them is their join in the partition lattice — the</w:t>
      </w:r>
      <w:r>
        <w:t xml:space="preserve"> </w:t>
      </w:r>
      <w:r>
        <w:t xml:space="preserve">connected components of the graph that links two observations whenever they share</w:t>
      </w:r>
      <w:r>
        <w:t xml:space="preserve"> </w:t>
      </w:r>
      <w:r>
        <w:t xml:space="preserve">a block under any declared source. This is standard partition-lattice algebra, and</w:t>
      </w:r>
      <w:r>
        <w:t xml:space="preserve"> </w:t>
      </w:r>
      <w:r>
        <w:t xml:space="preserve">the observation that joining several individually fine groupings can collapse into</w:t>
      </w:r>
      <w:r>
        <w:t xml:space="preserve"> </w:t>
      </w:r>
      <w:r>
        <w:t xml:space="preserve">a giant component has been reported for leakage control [36]. Combined with</w:t>
      </w:r>
      <w:r>
        <w:t xml:space="preserve"> </w:t>
      </w:r>
      <w:r>
        <w:t xml:space="preserve">Proposition 1 it yields the design-level bound of Corollary 2.2 (§4.2), which we</w:t>
      </w:r>
      <w:r>
        <w:t xml:space="preserve"> </w:t>
      </w:r>
      <w:r>
        <w:t xml:space="preserve">use as a diagnostic. It is stated for the HCP family only. The difference from the</w:t>
      </w:r>
      <w:r>
        <w:t xml:space="preserve"> </w:t>
      </w:r>
      <w:r>
        <w:t xml:space="preserve">leakage-control setting is one of kind rather than degree: there, a collapsed join</w:t>
      </w:r>
      <w:r>
        <w:t xml:space="preserve"> </w:t>
      </w:r>
      <w:r>
        <w:t xml:space="preserve">degrades a split (fewer folds, higher variance);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no finite</w:t>
      </w:r>
      <w:r>
        <w:t xml:space="preserve"> </w:t>
      </w:r>
      <w:r>
        <w:t xml:space="preserve">threshold exists at all.</w:t>
      </w:r>
    </w:p>
    <w:p>
      <w:pPr>
        <w:pStyle w:val="BodyText"/>
        <w:jc w:val="both"/>
      </w:pPr>
      <w:r>
        <w:t xml:space="preserve">The bound depends on which sources are declared, and that choice cannot be</w:t>
      </w:r>
      <w:r>
        <w:t xml:space="preserve"> </w:t>
      </w:r>
      <w:r>
        <w:t xml:space="preserve">verified from data. We therefore report it as a function of the declared set and</w:t>
      </w:r>
      <w:r>
        <w:t xml:space="preserve"> </w:t>
      </w:r>
      <w:r>
        <w:t xml:space="preserve">never as a property of a dataset. On PTB-XL fold 9, declaring</w:t>
      </w:r>
      <w:r>
        <w:t xml:space="preserve"> </w:t>
      </w:r>
      <w:r>
        <w:rPr>
          <w:rStyle w:val="VerbatimChar"/>
        </w:rPr>
        <w:t xml:space="preserve">patient_id</w:t>
      </w:r>
      <w:r>
        <w:t xml:space="preserve"> </w:t>
      </w:r>
      <w:r>
        <w:t xml:space="preserve">and</w:t>
      </w:r>
      <w:r>
        <w:t xml:space="preserve"> </w:t>
      </w:r>
      <w:r>
        <w:rPr>
          <w:rStyle w:val="VerbatimChar"/>
        </w:rPr>
        <w:t xml:space="preserve">site</w:t>
      </w:r>
      <w:r>
        <w:t xml:space="preserve"> </w:t>
      </w:r>
      <w:r>
        <w:t xml:space="preserve">retains</w:t>
      </w:r>
      <w:r>
        <w:t xml:space="preserve"> </w:t>
      </w:r>
      <m:oMath>
        <m:sSub>
          <m:e>
            <m:r>
              <m:t>K</m:t>
            </m:r>
          </m:e>
          <m:sub>
            <m:r>
              <m:t>1</m:t>
            </m:r>
          </m:sub>
        </m:sSub>
        <m:r>
          <m:rPr>
            <m:sty m:val="p"/>
          </m:rPr>
          <m:t>=</m:t>
        </m:r>
        <m:r>
          <m:t>34</m:t>
        </m:r>
      </m:oMath>
      <w:r>
        <w:t xml:space="preserve"> </w:t>
      </w:r>
      <w:r>
        <w:t xml:space="preserve">and remains feasible at</w:t>
      </w:r>
      <w:r>
        <w:t xml:space="preserve"> </w:t>
      </w:r>
      <m:oMath>
        <m:r>
          <m:t>α</m:t>
        </m:r>
        <m:r>
          <m:rPr>
            <m:sty m:val="p"/>
          </m:rPr>
          <m:t>=</m:t>
        </m:r>
        <m:r>
          <m:t>0.05</m:t>
        </m:r>
      </m:oMath>
      <w:r>
        <w:t xml:space="preserve">, although 31 of those</w:t>
      </w:r>
      <w:r>
        <w:t xml:space="preserve"> </w:t>
      </w:r>
      <w:r>
        <w:t xml:space="preserve">34 blocks consist solely of records lacking nurse metadata (§8.1); adding</w:t>
      </w:r>
      <w:r>
        <w:t xml:space="preserve"> </w:t>
      </w:r>
      <w:r>
        <w:rPr>
          <w:rStyle w:val="VerbatimChar"/>
        </w:rPr>
        <w:t xml:space="preserve">device</w:t>
      </w:r>
      <w:r>
        <w:t xml:space="preserve"> </w:t>
      </w:r>
      <w:r>
        <w:t xml:space="preserve">collapses the join to</w:t>
      </w:r>
      <w:r>
        <w:t xml:space="preserve"> </w:t>
      </w:r>
      <m:oMath>
        <m:sSub>
          <m:e>
            <m:r>
              <m:t>K</m:t>
            </m:r>
          </m:e>
          <m:sub>
            <m:r>
              <m:t>1</m:t>
            </m:r>
          </m:sub>
        </m:sSub>
        <m:r>
          <m:rPr>
            <m:sty m:val="p"/>
          </m:rPr>
          <m:t>=</m:t>
        </m:r>
        <m:r>
          <m:t>5</m:t>
        </m:r>
      </m:oMath>
      <w:r>
        <w:t xml:space="preserve">; declaring all four available sources yields a single</w:t>
      </w:r>
      <w:r>
        <w:t xml:space="preserve"> </w:t>
      </w:r>
      <w:r>
        <w:t xml:space="preserve">block.</w:t>
      </w:r>
      <w:r>
        <w:t xml:space="preserve"> </w:t>
      </w:r>
      <w:r>
        <w:t xml:space="preserve">Enumerating all</w:t>
      </w:r>
      <w:r>
        <w:t xml:space="preserve"> </w:t>
      </w:r>
      <m:oMath>
        <m:sSup>
          <m:e>
            <m:r>
              <m:t>2</m:t>
            </m:r>
          </m:e>
          <m:sup>
            <m:r>
              <m:t>4</m:t>
            </m:r>
          </m:sup>
        </m:sSup>
        <m:r>
          <m:rPr>
            <m:sty m:val="p"/>
          </m:rPr>
          <m:t>−</m:t>
        </m:r>
        <m:r>
          <m:t>1</m:t>
        </m:r>
      </m:oMath>
      <w:r>
        <w:t xml:space="preserve"> </w:t>
      </w:r>
      <w:r>
        <w:t xml:space="preserve">joins on fold 9 shows that every grouping satisfying S2</w:t>
      </w:r>
      <w:r>
        <w:t xml:space="preserve"> </w:t>
      </w:r>
      <w:r>
        <w:t xml:space="preserve">for all four sources has</w:t>
      </w:r>
      <w:r>
        <w:t xml:space="preserve"> </w:t>
      </w:r>
      <m:oMath>
        <m:sSub>
          <m:e>
            <m:r>
              <m:t>K</m:t>
            </m:r>
          </m:e>
          <m:sub>
            <m:r>
              <m:t>1</m:t>
            </m:r>
          </m:sub>
        </m:sSub>
        <m:r>
          <m:rPr>
            <m:sty m:val="p"/>
          </m:rPr>
          <m:t>=</m:t>
        </m:r>
        <m:r>
          <m:t>1</m:t>
        </m:r>
      </m:oMath>
      <w:r>
        <w:t xml:space="preserve">, so under that declaration no grouping satisfies</w:t>
      </w:r>
      <w:r>
        <w:t xml:space="preserve"> </w:t>
      </w:r>
      <w:r>
        <w:t xml:space="preserve">S1 and S2 together at any</w:t>
      </w:r>
      <w:r>
        <w:t xml:space="preserve"> </w:t>
      </w:r>
      <m:oMath>
        <m:r>
          <m:t>α</m:t>
        </m:r>
        <m:r>
          <m:rPr>
            <m:sty m:val="p"/>
          </m:rPr>
          <m:t>∈</m:t>
        </m:r>
        <m:r>
          <m:rPr>
            <m:sty m:val="p"/>
          </m:rPr>
          <m:t>{</m:t>
        </m:r>
        <m:r>
          <m:t>0.01</m:t>
        </m:r>
        <m:r>
          <m:rPr>
            <m:sty m:val="p"/>
          </m:rPr>
          <m:t>,</m:t>
        </m:r>
        <m:r>
          <m:t>0.05</m:t>
        </m:r>
        <m:r>
          <m:rPr>
            <m:sty m:val="p"/>
          </m:rPr>
          <m:t>,</m:t>
        </m:r>
        <m:r>
          <m:t>0.10</m:t>
        </m:r>
        <m:r>
          <m:rPr>
            <m:sty m:val="p"/>
          </m:rPr>
          <m:t>,</m:t>
        </m:r>
        <m:r>
          <m:t>0.20</m:t>
        </m:r>
        <m:r>
          <m:rPr>
            <m:sty m:val="p"/>
          </m:rPr>
          <m:t>}</m:t>
        </m:r>
      </m:oMath>
      <w:r>
        <w:t xml:space="preserve">.</w:t>
      </w:r>
    </w:p>
    <w:bookmarkEnd w:id="28"/>
    <w:bookmarkStart w:id="31" w:name="X061e8cbe518056becbb1e4c854110f791be5f3e"/>
    <w:p>
      <w:pPr>
        <w:pStyle w:val="Heading2"/>
      </w:pPr>
      <w:r>
        <w:t xml:space="preserve">5.3 Per-label feasibility on a label hierarchy</w:t>
      </w:r>
    </w:p>
    <w:bookmarkStart w:id="29" w:name="superset-coverage-reduces-exactly-to-hcp"/>
    <w:p>
      <w:pPr>
        <w:pStyle w:val="Heading3"/>
      </w:pPr>
      <w:r>
        <w:t xml:space="preserve">5.3.1 Superset coverage reduces exactly to HCP</w:t>
      </w:r>
    </w:p>
    <w:p>
      <w:pPr>
        <w:pStyle w:val="FirstParagraph"/>
        <w:jc w:val="both"/>
      </w:pPr>
      <w:r>
        <w:t xml:space="preserve">If the conformity score of a record is taken to be the maximum score over its true</w:t>
      </w:r>
      <w:r>
        <w:t xml:space="preserve"> </w:t>
      </w:r>
      <w:r>
        <w:t xml:space="preserve">labels, superset coverage is a marginal coverage statement about a scalar score,</w:t>
      </w:r>
      <w:r>
        <w:t xml:space="preserve"> </w:t>
      </w:r>
      <w:r>
        <w:t xml:space="preserve">and Theorem 1 of [9] applies verbatim. No new guarantee is obtained; we use</w:t>
      </w:r>
      <w:r>
        <w:t xml:space="preserve"> </w:t>
      </w:r>
      <w:r>
        <w:t xml:space="preserve">the construction because it is the operationally correct way to obtain a</w:t>
      </w:r>
      <w:r>
        <w:t xml:space="preserve"> </w:t>
      </w:r>
      <w:r>
        <w:t xml:space="preserve">superset-valid prediction set.</w:t>
      </w:r>
    </w:p>
    <w:bookmarkEnd w:id="29"/>
    <w:bookmarkStart w:id="30" w:name="X247756c12acb3b712aa935edc7f5d46325d673c"/>
    <w:p>
      <w:pPr>
        <w:pStyle w:val="Heading3"/>
      </w:pPr>
      <w:r>
        <w:t xml:space="preserve">5.3.2 Per-label guarantees are bounded by the number of blocks carrying the label</w:t>
      </w:r>
    </w:p>
    <w:p>
      <w:pPr>
        <w:pStyle w:val="FirstParagraph"/>
        <w:jc w:val="both"/>
      </w:pPr>
      <w:r>
        <w:t xml:space="preserve">That rare classes starve class-conditional calibration is well established for</w:t>
      </w:r>
      <w:r>
        <w:t xml:space="preserve"> </w:t>
      </w:r>
      <w:r>
        <w:t xml:space="preserve">exchangeable data [37]. Under hierarchical dependence the unit that</w:t>
      </w:r>
      <w:r>
        <w:t xml:space="preserve"> </w:t>
      </w:r>
      <w:r>
        <w:t xml:space="preserve">must be counted changes from observations to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 of</w:t>
      </w:r>
      <w:r>
        <w:t xml:space="preserve"> </w:t>
      </w:r>
      <m:oMath>
        <m:r>
          <m:t>ℓ</m:t>
        </m:r>
      </m:oMath>
      <w:r>
        <w:t xml:space="preserve">-positive observations in that block, whereas a block enters the calibration</w:t>
      </w:r>
      <w:r>
        <w:t xml:space="preserve"> </w:t>
      </w:r>
      <w:r>
        <w:t xml:space="preserve">stratum merely by containing one. Unless that fraction is constant across blocks,</w:t>
      </w:r>
      <w:r>
        <w:t xml:space="preserve"> </w:t>
      </w:r>
      <w:r>
        <w:t xml:space="preserve">test and calibration blocks are not exchangeable, and the rank argument does not</w:t>
      </w:r>
      <w:r>
        <w:t xml:space="preserve"> </w:t>
      </w:r>
      <w:r>
        <w:t xml:space="preserve">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 same size-biased</w:t>
      </w:r>
      <w:r>
        <w:t xml:space="preserve"> </w:t>
      </w:r>
      <w:r>
        <w:t xml:space="preserve">selection appears in the analysis of thresholds under clustering [35]. We</w:t>
      </w:r>
      <w:r>
        <w:t xml:space="preserve"> </w:t>
      </w:r>
      <w:r>
        <w:t xml:space="preserve">therefore use Proposition 3 only to rule out guarantees, never to certify them.</w:t>
      </w:r>
    </w:p>
    <w:p>
      <w:pPr>
        <w:pStyle w:val="BodyText"/>
        <w:jc w:val="both"/>
      </w:pPr>
      <w:r>
        <w:t xml:space="preserve">Because every block containing a label contains its ancestors,</w:t>
      </w:r>
      <w:r>
        <w:t xml:space="preserve"> </w:t>
      </w:r>
      <m:oMath>
        <m:sSub>
          <m:e>
            <m:r>
              <m:t>K</m:t>
            </m:r>
          </m:e>
          <m:sub>
            <m:r>
              <m:t>1</m:t>
            </m:r>
          </m:sub>
        </m:sSub>
      </m:oMath>
      <w:r>
        <w:t xml:space="preserve"> </w:t>
      </w:r>
      <w:r>
        <w:t xml:space="preserve">is monotone</w:t>
      </w:r>
      <w:r>
        <w:t xml:space="preserve"> </w:t>
      </w:r>
      <w:r>
        <w:t xml:space="preserve">toward the root of the hierarchy, so the necessary condition fails along a frontier</w:t>
      </w:r>
      <w:r>
        <w:t xml:space="preserve"> </w:t>
      </w:r>
      <w:r>
        <w:t xml:space="preserve">in the taxonomy that can be mapped from metadata before any model is trained.</w:t>
      </w:r>
      <w:r>
        <w:t xml:space="preserve"> </w:t>
      </w:r>
      <w:r>
        <w:t xml:space="preserve">Controlling</w:t>
      </w:r>
      <w:r>
        <w:t xml:space="preserve"> </w:t>
      </w:r>
      <m:oMath>
        <m:r>
          <m:t>m</m:t>
        </m:r>
      </m:oMath>
      <w:r>
        <w:t xml:space="preserve"> </w:t>
      </w:r>
      <w:r>
        <w:t xml:space="preserve">labels jointly by a 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every</w:t>
      </w:r>
      <w:r>
        <w:t xml:space="preserve"> </w:t>
      </w:r>
      <m:oMath>
        <m:r>
          <m:t>ℓ</m:t>
        </m:r>
      </m:oMath>
      <w:r>
        <w:t xml:space="preserve">.</w:t>
      </w:r>
    </w:p>
    <w:bookmarkEnd w:id="30"/>
    <w:bookmarkEnd w:id="31"/>
    <w:bookmarkStart w:id="35" w:name="audit-protocol"/>
    <w:p>
      <w:pPr>
        <w:pStyle w:val="Heading2"/>
      </w:pPr>
      <w:r>
        <w:t xml:space="preserve">5.4 Audit protocol</w:t>
      </w:r>
    </w:p>
    <w:p>
      <w:pPr>
        <w:pStyle w:val="FirstParagraph"/>
        <w:jc w:val="both"/>
      </w:pPr>
      <w:r>
        <w:t xml:space="preserve">Fig. 1 summarises the protocol. All three diagnostics are computed from metadata</w:t>
      </w:r>
      <w:r>
        <w:t xml:space="preserve"> </w:t>
      </w:r>
      <w:r>
        <w:t xml:space="preserve">alone, before training. The</w:t>
      </w:r>
      <w:r>
        <w:t xml:space="preserve"> </w:t>
      </w:r>
      <w:r>
        <w:t xml:space="preserve">empirical audit in §8 then measures coverage and prediction-set size of naive split</w:t>
      </w:r>
      <w:r>
        <w:t xml:space="preserve"> </w:t>
      </w:r>
      <w:r>
        <w:t xml:space="preserve">conformal (B1) and HCP (B12) on held-out blocks, over 200 random block-level</w:t>
      </w:r>
      <w:r>
        <w:t xml:space="preserve"> </w:t>
      </w:r>
      <w:r>
        <w:t xml:space="preserve">splits per configuration. To rule out the objection that calibration behaviour is</w:t>
      </w:r>
      <w:r>
        <w:t xml:space="preserve"> </w:t>
      </w:r>
      <w:r>
        <w:t xml:space="preserve">an artefact of a weak model, every audit is repeated on three backbones spanning a</w:t>
      </w:r>
      <w:r>
        <w:t xml:space="preserve"> </w:t>
      </w:r>
      <w:r>
        <w:t xml:space="preserve">more than hundredfold range of capacity (0.10 M, 7.2 M and 16.0 M parameters).</w:t>
      </w:r>
      <w:r>
        <w:t xml:space="preserve"> </w:t>
      </w:r>
      <w:r>
        <w:t xml:space="preserve">Diagnostics computed from metadata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w:t>
      </w:r>
      <w:r>
        <w:t xml:space="preserve"> </w:t>
      </w:r>
      <w:r>
        <w:t xml:space="preserve">must be identical across backbones, and we report them per backbone as a negative</w:t>
      </w:r>
      <w:r>
        <w:t xml:space="preserve"> </w:t>
      </w:r>
      <w:r>
        <w:t xml:space="preserve">control on the pipeline. PTB-XL fold 10 is never used.</w:t>
      </w:r>
    </w:p>
    <w:p>
      <w:pPr>
        <w:pStyle w:val="CaptionedFigure"/>
        <w:jc w:val="both"/>
      </w:pPr>
      <w:r>
        <w:drawing>
          <wp:inline>
            <wp:extent cx="5334000" cy="1397151"/>
            <wp:effectExtent b="0" l="0" r="0" t="0"/>
            <wp:docPr descr="Fig. 1. Audit protocol. The first four steps use metadata only and return exact verdicts before any patient is enrolled or any model trained; the last two require conformity scores from a trained model." title="" id="33" name="Picture"/>
            <a:graphic>
              <a:graphicData uri="http://schemas.openxmlformats.org/drawingml/2006/picture">
                <pic:pic>
                  <pic:nvPicPr>
                    <pic:cNvPr descr="figures/fig1_audit_workflow.png" id="34" name="Picture"/>
                    <pic:cNvPicPr>
                      <a:picLocks noChangeArrowheads="1" noChangeAspect="1"/>
                    </pic:cNvPicPr>
                  </pic:nvPicPr>
                  <pic:blipFill>
                    <a:blip r:embed="rId32"/>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exact verdicts before any patient is enrolled or any model trained; the last two require conformity scores from a trained model.</w:t>
      </w:r>
    </w:p>
    <w:bookmarkEnd w:id="35"/>
    <w:bookmarkEnd w:id="36"/>
    <w:bookmarkStart w:id="41" w:name="datasets"/>
    <w:p>
      <w:pPr>
        <w:pStyle w:val="Heading1"/>
      </w:pPr>
      <w:r>
        <w:t xml:space="preserve">6. Datasets</w:t>
      </w:r>
    </w:p>
    <w:p>
      <w:pPr>
        <w:pStyle w:val="FirstParagraph"/>
        <w:jc w:val="both"/>
      </w:pPr>
      <w:r>
        <w:t xml:space="preserve">Throughout this section we distinguish statements about</w:t>
      </w:r>
      <w:r>
        <w:t xml:space="preserve"> </w:t>
      </w:r>
      <w:r>
        <w:rPr>
          <w:i/>
          <w:iCs/>
        </w:rPr>
        <w:t xml:space="preserve">what is documented</w:t>
      </w:r>
      <w:r>
        <w:t xml:space="preserve"> </w:t>
      </w:r>
      <w:r>
        <w:t xml:space="preserve">for</w:t>
      </w:r>
      <w:r>
        <w:t xml:space="preserve"> </w:t>
      </w:r>
      <w:r>
        <w:t xml:space="preserve">a dataset from statements about</w:t>
      </w:r>
      <w:r>
        <w:t xml:space="preserve"> </w:t>
      </w:r>
      <w:r>
        <w:rPr>
          <w:i/>
          <w:iCs/>
        </w:rPr>
        <w:t xml:space="preserve">what is observed</w:t>
      </w:r>
      <w:r>
        <w:t xml:space="preserve"> </w:t>
      </w:r>
      <w:r>
        <w:t xml:space="preserve">in the data. The distinction</w:t>
      </w:r>
      <w:r>
        <w:t xml:space="preserve"> </w:t>
      </w:r>
      <w:r>
        <w:t xml:space="preserve">matters most where the two diverge (§6.4).</w:t>
      </w:r>
    </w:p>
    <w:bookmarkStart w:id="37" w:name="selection-rationale"/>
    <w:p>
      <w:pPr>
        <w:pStyle w:val="Heading2"/>
      </w:pPr>
      <w:r>
        <w:t xml:space="preserve">6.1 Selection rationale</w:t>
      </w:r>
    </w:p>
    <w:p>
      <w:pPr>
        <w:pStyle w:val="FirstParagraph"/>
        <w:jc w:val="both"/>
      </w:pPr>
      <w:r>
        <w:t xml:space="preserve">The three datasets serve logically distinct roles (Table II); they are not</w:t>
      </w:r>
      <w:r>
        <w:t xml:space="preserve"> </w:t>
      </w:r>
      <w:r>
        <w:t xml:space="preserve">replications intended to corroborate one another.</w:t>
      </w:r>
    </w:p>
    <w:p>
      <w:pPr>
        <w:pStyle w:val="BodyText"/>
        <w:keepNext/>
        <w:spacing w:before="160"/>
        <w:jc w:val="center"/>
      </w:pPr>
      <w:r/>
      <w:r>
        <w:rPr>
          <w:sz w:val="18"/>
        </w:rPr>
        <w:t>TABLE II</w:t>
      </w:r>
      <w:r>
        <w:br/>
      </w:r>
      <w:r>
        <w:rPr>
          <w:sz w:val="16"/>
        </w:rPr>
        <w:t>ROLES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Dataset</w:t>
            </w:r>
          </w:p>
        </w:tc>
        <w:tc>
          <w:tcPr/>
          <w:p>
            <w:pPr>
              <w:pStyle w:val="Compact"/>
            </w:pPr>
            <w:r>
              <w:rPr>
                <w:b/>
                <w:sz w:val="17"/>
              </w:rPr>
              <w:t xml:space="preserve">Role</w:t>
            </w:r>
          </w:p>
        </w:tc>
        <w:tc>
          <w:tcPr/>
          <w:p>
            <w:pPr>
              <w:pStyle w:val="Compact"/>
            </w:pPr>
            <w:r>
              <w:rPr>
                <w:b/>
                <w:sz w:val="17"/>
              </w:rPr>
              <w:t xml:space="preserve">Block identifier</w:t>
            </w:r>
          </w:p>
        </w:tc>
      </w:tr>
      <w:tr>
        <w:tc>
          <w:tcPr/>
          <w:p>
            <w:pPr>
              <w:pStyle w:val="Compact"/>
            </w:pPr>
            <w:r>
              <w:rPr>
                <w:sz w:val="17"/>
              </w:rPr>
              <w:t xml:space="preserve">PTB-XL</w:t>
            </w:r>
          </w:p>
        </w:tc>
        <w:tc>
          <w:tcPr/>
          <w:p>
            <w:pPr>
              <w:pStyle w:val="Compact"/>
            </w:pPr>
            <w:r>
              <w:rPr>
                <w:sz w:val="17"/>
              </w:rPr>
              <w:t xml:space="preserve">Primary case: patient-level dependence, multi-label targets, label hierarchy</w:t>
            </w:r>
          </w:p>
        </w:tc>
        <w:tc>
          <w:tcPr/>
          <w:p>
            <w:pPr>
              <w:pStyle w:val="Compact"/>
            </w:pPr>
            <w:r>
              <w:rPr>
                <w:sz w:val="17"/>
              </w:rPr>
              <w:t xml:space="preserve">Documented (patient_id)</w:t>
            </w:r>
          </w:p>
        </w:tc>
      </w:tr>
      <w:tr>
        <w:tc>
          <w:tcPr/>
          <w:p>
            <w:pPr>
              <w:pStyle w:val="Compact"/>
            </w:pPr>
            <w:r>
              <w:rPr>
                <w:sz w:val="17"/>
              </w:rPr>
              <w:t xml:space="preserve">MIT-BIH</w:t>
            </w:r>
          </w:p>
        </w:tc>
        <w:tc>
          <w:tcPr/>
          <w:p>
            <w:pPr>
              <w:pStyle w:val="Compact"/>
            </w:pPr>
            <w:r>
              <w:rPr>
                <w:sz w:val="17"/>
              </w:rPr>
              <w:t xml:space="preserve">Strong-dependence end of the design-effect axis</w:t>
            </w:r>
          </w:p>
        </w:tc>
        <w:tc>
          <w:tcPr/>
          <w:p>
            <w:pPr>
              <w:pStyle w:val="Compact"/>
            </w:pPr>
            <w:r>
              <w:rPr>
                <w:sz w:val="17"/>
              </w:rPr>
              <w:t xml:space="preserve">Documented (record = subject)</w:t>
            </w:r>
          </w:p>
        </w:tc>
      </w:tr>
      <w:tr>
        <w:tc>
          <w:tcPr/>
          <w:p>
            <w:pPr>
              <w:pStyle w:val="Compact"/>
            </w:pPr>
            <w:r>
              <w:rPr>
                <w:sz w:val="17"/>
              </w:rPr>
              <w:t xml:space="preserve">Challenge 2021</w:t>
            </w:r>
          </w:p>
        </w:tc>
        <w:tc>
          <w:tcPr/>
          <w:p>
            <w:pPr>
              <w:pStyle w:val="Compact"/>
            </w:pPr>
            <w:r>
              <w:rPr>
                <w:sz w:val="17"/>
              </w:rPr>
              <w:t xml:space="preserve">Case study at the limit of observability</w:t>
            </w:r>
          </w:p>
        </w:tc>
        <w:tc>
          <w:tcPr/>
          <w:p>
            <w:pPr>
              <w:pStyle w:val="Compact"/>
            </w:pPr>
            <w:r>
              <w:rPr>
                <w:sz w:val="17"/>
              </w:rPr>
              <w:t xml:space="preserve">Not documented</w:t>
            </w:r>
          </w:p>
        </w:tc>
      </w:tr>
    </w:tbl>
    <w:p>
      <w:pPr>
        <w:pStyle w:val="BodyText"/>
        <w:jc w:val="both"/>
      </w:pPr>
      <w:r>
        <w:t xml:space="preserve">The first two datasets occupy opposite corners of the space of block geometries.</w:t>
      </w:r>
      <w:r>
        <w:t xml:space="preserve"> </w:t>
      </w:r>
      <w:r>
        <w:t xml:space="preserve">A single dataset, however large, cannot separate a theory that depends on the</w:t>
      </w:r>
      <w:r>
        <w:t xml:space="preserve"> </w:t>
      </w:r>
      <w:r>
        <w:t xml:space="preserve">number of blocks from one that depends on the number of measurements per block,</w:t>
      </w:r>
      <w:r>
        <w:t xml:space="preserve"> </w:t>
      </w:r>
      <w:r>
        <w:t xml:space="preserve">because the two quantities are fixed within it (Table III).</w:t>
      </w:r>
    </w:p>
    <w:p>
      <w:pPr>
        <w:pStyle w:val="BodyText"/>
        <w:keepNext/>
        <w:spacing w:before="160"/>
        <w:jc w:val="center"/>
      </w:pPr>
      <w:r/>
      <w:r>
        <w:rPr>
          <w:sz w:val="18"/>
        </w:rPr>
        <w:t>TABLE III</w:t>
      </w:r>
      <w:r>
        <w:br/>
      </w:r>
      <w:r>
        <w:rPr>
          <w:sz w:val="16"/>
        </w:rPr>
        <w:t>BLOCK GEOMETRY OF THE TWO PRIMARY DATASETS.</w:t>
      </w:r>
    </w:p>
    <w:tbl>
      <w:tblPr>
        <w:tblStyle w:val="Table"/>
        <w:tblW w:type="auto" w:w="0"/>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jc w:val="right"/>
            </w:pPr>
            <w:r>
              <w:rPr>
                <w:b/>
                <w:sz w:val="17"/>
              </w:rPr>
              <w:t xml:space="preserve">PTB-XL</w:t>
            </w:r>
          </w:p>
        </w:tc>
        <w:tc>
          <w:tcPr/>
          <w:p>
            <w:pPr>
              <w:pStyle w:val="Compact"/>
              <w:jc w:val="right"/>
            </w:pPr>
            <w:r>
              <w:rPr>
                <w:b/>
                <w:sz w:val="17"/>
              </w:rPr>
              <w:t xml:space="preserve">MIT-BIH</w:t>
            </w:r>
          </w:p>
        </w:tc>
      </w:tr>
      <w:tr>
        <w:tc>
          <w:tcPr/>
          <w:p>
            <w:pPr>
              <w:pStyle w:val="Compact"/>
            </w:pPr>
            <w:r>
              <w:rPr>
                <w:sz w:val="17"/>
              </w:rPr>
              <w:t xml:space="preserve">Block unit</w:t>
            </w:r>
          </w:p>
        </w:tc>
        <w:tc>
          <w:tcPr/>
          <w:p>
            <w:pPr>
              <w:pStyle w:val="Compact"/>
              <w:jc w:val="right"/>
            </w:pPr>
            <w:r>
              <w:rPr>
                <w:sz w:val="17"/>
              </w:rPr>
              <w:t xml:space="preserve">patient</w:t>
            </w:r>
          </w:p>
        </w:tc>
        <w:tc>
          <w:tcPr/>
          <w:p>
            <w:pPr>
              <w:pStyle w:val="Compact"/>
              <w:jc w:val="right"/>
            </w:pPr>
            <w:r>
              <w:rPr>
                <w:sz w:val="17"/>
              </w:rPr>
              <w:t xml:space="preserve">record (subject)</w:t>
            </w:r>
          </w:p>
        </w:tc>
      </w:tr>
      <w:tr>
        <w:tc>
          <w:tcPr/>
          <w:p>
            <w:pPr>
              <w:pStyle w:val="Compact"/>
            </w:pPr>
            <w:r>
              <w:rPr>
                <w:sz w:val="17"/>
              </w:rPr>
              <w:t xml:space="preserve">Calibration blocks</w:t>
            </w:r>
            <w:r>
              <w:rPr>
                <w:sz w:val="17"/>
              </w:rPr>
              <w:t xml:space="preserve"> </w:t>
            </w:r>
            <m:oMath>
              <m:sSub>
                <m:e>
                  <m:r>
                    <m:t>K</m:t>
                  </m:r>
                </m:e>
                <m:sub>
                  <m:r>
                    <m:t>1</m:t>
                  </m:r>
                </m:sub>
              </m:sSub>
            </m:oMath>
          </w:p>
        </w:tc>
        <w:tc>
          <w:tcPr/>
          <w:p>
            <w:pPr>
              <w:pStyle w:val="Compact"/>
              <w:jc w:val="right"/>
            </w:pPr>
            <w:r>
              <w:rPr>
                <w:sz w:val="17"/>
              </w:rPr>
              <w:t xml:space="preserve">958</w:t>
            </w:r>
          </w:p>
        </w:tc>
        <w:tc>
          <w:tcPr/>
          <w:p>
            <w:pPr>
              <w:pStyle w:val="Compact"/>
              <w:jc w:val="right"/>
            </w:pPr>
            <w:r>
              <w:rPr>
                <w:sz w:val="17"/>
              </w:rPr>
              <w:t xml:space="preserve">11</w:t>
            </w:r>
          </w:p>
        </w:tc>
      </w:tr>
      <w:tr>
        <w:tc>
          <w:tcPr/>
          <w:p>
            <w:pPr>
              <w:pStyle w:val="Compact"/>
            </w:pPr>
            <w:r>
              <w:rPr>
                <w:sz w:val="17"/>
              </w:rPr>
              <w:t xml:space="preserve">Harmonic mean block size</w:t>
            </w:r>
            <w:r>
              <w:rPr>
                <w:sz w:val="17"/>
              </w:rPr>
              <w:t xml:space="preserve"> </w:t>
            </w:r>
            <m:oMath>
              <m:r>
                <m:t>H</m:t>
              </m:r>
            </m:oMath>
          </w:p>
        </w:tc>
        <w:tc>
          <w:tcPr/>
          <w:p>
            <w:pPr>
              <w:pStyle w:val="Compact"/>
              <w:jc w:val="right"/>
            </w:pPr>
            <w:r>
              <w:rPr>
                <w:sz w:val="17"/>
              </w:rPr>
              <w:t xml:space="preserve">1.05</w:t>
            </w:r>
          </w:p>
        </w:tc>
        <w:tc>
          <w:tcPr/>
          <w:p>
            <w:pPr>
              <w:pStyle w:val="Compact"/>
              <w:jc w:val="right"/>
            </w:pPr>
            <w:r>
              <w:rPr>
                <w:sz w:val="17"/>
              </w:rPr>
              <w:t xml:space="preserve">1,355</w:t>
            </w:r>
          </w:p>
        </w:tc>
      </w:tr>
      <w:tr>
        <w:tc>
          <w:tcPr/>
          <w:p>
            <w:pPr>
              <w:pStyle w:val="Compact"/>
            </w:pPr>
            <w:r>
              <w:rPr>
                <w:sz w:val="17"/>
              </w:rPr>
              <w:t xml:space="preserve">Design effect</w:t>
            </w:r>
          </w:p>
        </w:tc>
        <w:tc>
          <w:tcPr/>
          <w:p>
            <w:pPr>
              <w:pStyle w:val="Compact"/>
              <w:jc w:val="right"/>
            </w:pPr>
            <w:r>
              <w:rPr>
                <w:sz w:val="17"/>
              </w:rPr>
              <w:t xml:space="preserve">1.02</w:t>
            </w:r>
          </w:p>
        </w:tc>
        <w:tc>
          <w:tcPr/>
          <w:p>
            <w:pPr>
              <w:pStyle w:val="Compact"/>
              <w:jc w:val="right"/>
            </w:pPr>
            <w:r>
              <w:rPr>
                <w:sz w:val="17"/>
              </w:rPr>
              <w:t xml:space="preserve">703.93</w:t>
            </w:r>
          </w:p>
        </w:tc>
      </w:tr>
    </w:tbl>
    <w:p>
      <w:pPr>
        <w:pStyle w:val="BodyText"/>
        <w:jc w:val="both"/>
      </w:pPr>
      <w:r>
        <w:t xml:space="preserve">Two quantities in this table are not properties of the datasets.</w:t>
      </w:r>
      <w:r>
        <w:t xml:space="preserve"> </w:t>
      </w:r>
      <m:oMath>
        <m:sSub>
          <m:e>
            <m:r>
              <m:t>K</m:t>
            </m:r>
          </m:e>
          <m:sub>
            <m:r>
              <m:t>1</m:t>
            </m:r>
          </m:sub>
        </m:sSub>
      </m:oMath>
      <w:r>
        <w:t xml:space="preserve"> </w:t>
      </w:r>
      <w:r>
        <w:t xml:space="preserve">depends on</w:t>
      </w:r>
      <w:r>
        <w:t xml:space="preserve"> </w:t>
      </w:r>
      <w:r>
        <w:t xml:space="preserve">the split design: 958 is half of the 1,917 patients in our fold-9 evaluation</w:t>
      </w:r>
      <w:r>
        <w:t xml:space="preserve"> </w:t>
      </w:r>
      <w:r>
        <w:t xml:space="preserve">subset, and another design would give another value.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depends on the model, because</w:t>
      </w:r>
      <w:r>
        <w:t xml:space="preserve"> </w:t>
      </w:r>
      <m:oMath>
        <m:r>
          <m:t>ρ</m:t>
        </m:r>
      </m:oMath>
      <w:r>
        <w:t xml:space="preserve"> </w:t>
      </w:r>
      <w:r>
        <w:t xml:space="preserve">is the ICC of</w:t>
      </w:r>
      <w:r>
        <w:t xml:space="preserve"> </w:t>
      </w:r>
      <w:r>
        <w:t xml:space="preserve">conformity scores produced by a particular backbone. Only</w:t>
      </w:r>
      <w:r>
        <w:t xml:space="preserve"> </w:t>
      </w:r>
      <m:oMath>
        <m:r>
          <m:t>H</m:t>
        </m:r>
      </m:oMath>
      <w:r>
        <w:t xml:space="preserve"> </w:t>
      </w:r>
      <w:r>
        <w:t xml:space="preserve">is purely</w:t>
      </w:r>
      <w:r>
        <w:t xml:space="preserve"> </w:t>
      </w:r>
      <w:r>
        <w:t xml:space="preserve">structural. The design effect should therefore not be quoted as a characteristic</w:t>
      </w:r>
      <w:r>
        <w:t xml:space="preserve"> </w:t>
      </w:r>
      <w:r>
        <w:t xml:space="preserve">of either dataset.</w:t>
      </w:r>
    </w:p>
    <w:p>
      <w:pPr>
        <w:pStyle w:val="BodyText"/>
        <w:jc w:val="both"/>
      </w:pPr>
      <w:r>
        <w:t xml:space="preserve">Challenge 2021 is not used to support any claim of generality. Its role is</w:t>
      </w:r>
      <w:r>
        <w:t xml:space="preserve"> </w:t>
      </w:r>
      <w:r>
        <w:t xml:space="preserve">narrow: to provide a case in which the diagnostic returns a verdict</w:t>
      </w:r>
      <w:r>
        <w:t xml:space="preserve"> </w:t>
      </w:r>
      <w:r>
        <w:rPr>
          <w:i/>
          <w:iCs/>
        </w:rPr>
        <w:t xml:space="preserve">other than</w:t>
      </w:r>
      <w:r>
        <w:t xml:space="preserve"> </w:t>
      </w:r>
      <w:r>
        <w:t xml:space="preserve">“admissible”</w:t>
      </w:r>
      <w:r>
        <w:t xml:space="preserve">. A diagnostic that has only ever returned</w:t>
      </w:r>
      <w:r>
        <w:t xml:space="preserve"> </w:t>
      </w:r>
      <w:r>
        <w:t xml:space="preserve">“admissible”</w:t>
      </w:r>
      <w:r>
        <w:t xml:space="preserve"> </w:t>
      </w:r>
      <w:r>
        <w:t xml:space="preserve">has not</w:t>
      </w:r>
      <w:r>
        <w:t xml:space="preserve"> </w:t>
      </w:r>
      <w:r>
        <w:t xml:space="preserve">demonstrated that it discriminates.</w:t>
      </w:r>
    </w:p>
    <w:bookmarkEnd w:id="37"/>
    <w:bookmarkStart w:id="38" w:name="ptb-xl"/>
    <w:p>
      <w:pPr>
        <w:pStyle w:val="Heading2"/>
      </w:pPr>
      <w:r>
        <w:t xml:space="preserve">6.2 PTB-XL</w:t>
      </w:r>
    </w:p>
    <w:p>
      <w:pPr>
        <w:pStyle w:val="FirstParagraph"/>
        <w:jc w:val="both"/>
      </w:pPr>
      <w:r>
        <w:t xml:space="preserve">PTB-XL [2], [11] comprises 21,799 twelve-lead records from 18,869 patients, released</w:t>
      </w:r>
      <w:r>
        <w:t xml:space="preserve"> </w:t>
      </w:r>
      <w:r>
        <w:t xml:space="preserve">under a permissive licence with full metadata. We use the 100 Hz variant,</w:t>
      </w:r>
      <w:r>
        <w:t xml:space="preserve"> </w:t>
      </w:r>
      <w:r>
        <w:t xml:space="preserve">yielding 1,000 samples per 10-second record, band-pass filtered at 0.5–40 Hz.</w:t>
      </w:r>
    </w:p>
    <w:p>
      <w:pPr>
        <w:pStyle w:val="BodyText"/>
        <w:jc w:val="both"/>
      </w:pPr>
      <w:r>
        <w:rPr>
          <w:b/>
          <w:bCs/>
        </w:rPr>
        <w:t xml:space="preserve">Label structure.</w:t>
      </w:r>
      <w:r>
        <w:t xml:space="preserve"> </w:t>
      </w:r>
      <w:r>
        <w:t xml:space="preserve">Diagnostic statements map to five non-exclusive</w:t>
      </w:r>
      <w:r>
        <w:t xml:space="preserve"> </w:t>
      </w:r>
      <w:r>
        <w:t xml:space="preserve">superclasses: NORM (9,514), MI (5,469), STTC (5,235), CD (4,898), and HYP</w:t>
      </w:r>
      <w:r>
        <w:t xml:space="preserve"> </w:t>
      </w:r>
      <w:r>
        <w:t xml:space="preserve">(2,649). The 27,765 superclass labels across 21,799 records confirm genuine</w:t>
      </w:r>
      <w:r>
        <w:t xml:space="preserve"> </w:t>
      </w:r>
      <w:r>
        <w:t xml:space="preserve">multi-label structure, with 5,144 records carrying more than one superclass.</w:t>
      </w:r>
      <w:r>
        <w:t xml:space="preserve"> </w:t>
      </w:r>
      <w:r>
        <w:t xml:space="preserve">411 records (1.9%) carry no diagnostic superclass and are excluded from</w:t>
      </w:r>
      <w:r>
        <w:t xml:space="preserve"> </w:t>
      </w:r>
      <w:r>
        <w:t xml:space="preserve">evaluation rather than assigned a default class.</w:t>
      </w:r>
    </w:p>
    <w:p>
      <w:pPr>
        <w:pStyle w:val="BodyText"/>
        <w:jc w:val="both"/>
      </w:pPr>
      <w:r>
        <w:rPr>
          <w:b/>
          <w:bCs/>
        </w:rPr>
        <w:t xml:space="preserve">Block structure.</w:t>
      </w:r>
      <w:r>
        <w:t xml:space="preserve"> </w:t>
      </w:r>
      <w:r>
        <w:t xml:space="preserve">The dataset is only mildly clustered at the patient level:</w:t>
      </w:r>
      <w:r>
        <w:t xml:space="preserve"> </w:t>
      </w:r>
      <w:r>
        <w:t xml:space="preserve">mean 1.155 records per patient, maximum 10, with 88.8% of patients contributing</w:t>
      </w:r>
      <w:r>
        <w:t xml:space="preserve"> </w:t>
      </w:r>
      <w:r>
        <w:t xml:space="preserve">a single record. In total 5,041 records (23.1%) belong to multi-record</w:t>
      </w:r>
      <w:r>
        <w:t xml:space="preserve"> </w:t>
      </w:r>
      <w:r>
        <w:t xml:space="preserve">patients. This mildness is precisely what makes PTB-XL the low-dose end of the</w:t>
      </w:r>
      <w:r>
        <w:t xml:space="preserve"> </w:t>
      </w:r>
      <w:r>
        <w:t xml:space="preserve">design-effect axis.</w:t>
      </w:r>
    </w:p>
    <w:p>
      <w:pPr>
        <w:pStyle w:val="BodyText"/>
        <w:jc w:val="both"/>
      </w:pPr>
      <w:r>
        <w:rPr>
          <w:b/>
          <w:bCs/>
        </w:rPr>
        <w:t xml:space="preserve">Additional dependence sources.</w:t>
      </w:r>
      <w:r>
        <w:t xml:space="preserve"> </w:t>
      </w:r>
      <w:r>
        <w:t xml:space="preserve">Beyond patient identity, the metadata exposes</w:t>
      </w:r>
      <w:r>
        <w:t xml:space="preserve"> </w:t>
      </w:r>
      <w:r>
        <w:t xml:space="preserve">three further grouping variables: 51 recording sites (17 records missing),</w:t>
      </w:r>
      <w:r>
        <w:t xml:space="preserve"> </w:t>
      </w:r>
      <w:r>
        <w:t xml:space="preserve">12 nurses (1,473 missing), and 11 devices (complete). These are</w:t>
      </w:r>
      <w:r>
        <w:t xml:space="preserve"> </w:t>
      </w:r>
      <w:r>
        <w:rPr>
          <w:i/>
          <w:iCs/>
        </w:rPr>
        <w:t xml:space="preserve">crossed</w:t>
      </w:r>
      <w:r>
        <w:t xml:space="preserve"> </w:t>
      </w:r>
      <w:r>
        <w:t xml:space="preserve">rather than nested, which is the empirical basis for the impossibility</w:t>
      </w:r>
      <w:r>
        <w:t xml:space="preserve"> </w:t>
      </w:r>
      <w:r>
        <w:t xml:space="preserve">result of Section 5.2.</w:t>
      </w:r>
    </w:p>
    <w:p>
      <w:pPr>
        <w:pStyle w:val="BodyText"/>
        <w:jc w:val="both"/>
      </w:pPr>
      <w:r>
        <w:rPr>
          <w:b/>
          <w:bCs/>
        </w:rPr>
        <w:t xml:space="preserve">Official folds.</w:t>
      </w:r>
      <w:r>
        <w:t xml:space="preserve"> </w:t>
      </w:r>
      <w:r>
        <w:t xml:space="preserve">The published stratified 10-fold split is used unchanged:</w:t>
      </w:r>
      <w:r>
        <w:t xml:space="preserve"> </w:t>
      </w:r>
      <w:r>
        <w:t xml:space="preserve">17,418 records in folds 1–8, 2,183 in fold 9, and 2,198 in fold 10. No patient</w:t>
      </w:r>
      <w:r>
        <w:t xml:space="preserve"> </w:t>
      </w:r>
      <w:r>
        <w:t xml:space="preserve">crosses a fold boundary. Crucially, human validation differs sharply between</w:t>
      </w:r>
      <w:r>
        <w:t xml:space="preserve"> </w:t>
      </w:r>
      <w:r>
        <w:t xml:space="preserve">folds: 67.0% on average across folds 1–8 (range 64–68%), against 100% on</w:t>
      </w:r>
      <w:r>
        <w:t xml:space="preserve"> </w:t>
      </w:r>
      <w:r>
        <w:t xml:space="preserve">folds 9 and 10. All confirmatory analysis is therefore confined to folds 9–10;</w:t>
      </w:r>
      <w:r>
        <w:t xml:space="preserve"> </w:t>
      </w:r>
      <w:r>
        <w:t xml:space="preserve">fold 10 is reserved and has not been examined.</w:t>
      </w:r>
    </w:p>
    <w:p>
      <w:pPr>
        <w:pStyle w:val="BodyText"/>
        <w:jc w:val="both"/>
      </w:pPr>
      <w:r>
        <w:rPr>
          <w:b/>
          <w:bCs/>
        </w:rPr>
        <w:t xml:space="preserve">Demographics.</w:t>
      </w:r>
      <w:r>
        <w:t xml:space="preserve"> </w:t>
      </w:r>
      <w:r>
        <w:t xml:space="preserve">Age is complete for all records (median 62); sex is recorded</w:t>
      </w:r>
      <w:r>
        <w:t xml:space="preserve"> </w:t>
      </w:r>
      <w:r>
        <w:t xml:space="preserve">as 11,354 male and 10,445 female. Note that PTB-XL encodes ages above 89 as the</w:t>
      </w:r>
      <w:r>
        <w:t xml:space="preserve"> </w:t>
      </w:r>
      <w:r>
        <w:t xml:space="preserve">sentinel value 300, affecting 293 records — treating this as a numeric</w:t>
      </w:r>
      <w:r>
        <w:t xml:space="preserve"> </w:t>
      </w:r>
      <w:r>
        <w:t xml:space="preserve">age would corrupt any age-stratified analysis.</w:t>
      </w:r>
    </w:p>
    <w:bookmarkEnd w:id="38"/>
    <w:bookmarkStart w:id="39" w:name="mit-bih-arrhythmia-database"/>
    <w:p>
      <w:pPr>
        <w:pStyle w:val="Heading2"/>
      </w:pPr>
      <w:r>
        <w:t xml:space="preserve">6.3 MIT-BIH Arrhythmia Database</w:t>
      </w:r>
    </w:p>
    <w:p>
      <w:pPr>
        <w:pStyle w:val="FirstParagraph"/>
        <w:jc w:val="both"/>
      </w:pPr>
      <w:r>
        <w:t xml:space="preserve">The MIT-BIH Arrhythmia Database [12] contains 48 half-hour two-channel recordings at 360 Hz with</w:t>
      </w:r>
      <w:r>
        <w:t xml:space="preserve"> </w:t>
      </w:r>
      <w:r>
        <w:t xml:space="preserve">beat-by-beat cardiologist annotations. Following standard practice we exclude</w:t>
      </w:r>
      <w:r>
        <w:t xml:space="preserve"> </w:t>
      </w:r>
      <w:r>
        <w:t xml:space="preserve">the four paced records (102, 104, 107, 217), leaving 44.</w:t>
      </w:r>
    </w:p>
    <w:p>
      <w:pPr>
        <w:pStyle w:val="BodyText"/>
        <w:jc w:val="both"/>
      </w:pPr>
      <w:r>
        <w:rPr>
          <w:b/>
          <w:bCs/>
        </w:rPr>
        <w:t xml:space="preserve">Beat extraction.</w:t>
      </w:r>
      <w:r>
        <w:t xml:space="preserve"> </w:t>
      </w:r>
      <w:r>
        <w:t xml:space="preserve">Annotations are mapped to the five AAMI classes, yielding</w:t>
      </w:r>
      <w:r>
        <w:t xml:space="preserve"> </w:t>
      </w:r>
      <w:r>
        <w:t xml:space="preserve">100,733 beats. Of these, 40 lie within 128 samples of a recording boundary</w:t>
      </w:r>
      <w:r>
        <w:t xml:space="preserve"> </w:t>
      </w:r>
      <w:r>
        <w:t xml:space="preserve">and cannot yield a complete 256-sample (711 ms) window; they are dropped rather</w:t>
      </w:r>
      <w:r>
        <w:t xml:space="preserve"> </w:t>
      </w:r>
      <w:r>
        <w:t xml:space="preserve">than zero-padded, leaving 100,693 beats.</w:t>
      </w:r>
    </w:p>
    <w:p>
      <w:pPr>
        <w:pStyle w:val="BodyText"/>
        <w:jc w:val="both"/>
      </w:pPr>
      <w:r>
        <w:rPr>
          <w:b/>
          <w:bCs/>
        </w:rPr>
        <w:t xml:space="preserve">Channel selection.</w:t>
      </w:r>
      <w:r>
        <w:t xml:space="preserve"> </w:t>
      </w:r>
      <w:r>
        <w:t xml:space="preserve">The MLII lead is selected by name rather than by</w:t>
      </w:r>
      <w:r>
        <w:t xml:space="preserve"> </w:t>
      </w:r>
      <w:r>
        <w:t xml:space="preserve">index. Record 114 stores its channels in the order</w:t>
      </w:r>
      <w:r>
        <w:t xml:space="preserve"> </w:t>
      </w:r>
      <w:r>
        <w:rPr>
          <w:rStyle w:val="VerbatimChar"/>
        </w:rPr>
        <w:t xml:space="preserve">[V5, MLII]</w:t>
      </w:r>
      <w:r>
        <w:t xml:space="preserve">, so index-based</w:t>
      </w:r>
      <w:r>
        <w:t xml:space="preserve"> </w:t>
      </w:r>
      <w:r>
        <w:t xml:space="preserve">selection silently substitutes a different lead for that record, with no error</w:t>
      </w:r>
      <w:r>
        <w:t xml:space="preserve"> </w:t>
      </w:r>
      <w:r>
        <w:t xml:space="preserve">raised.</w:t>
      </w:r>
    </w:p>
    <w:p>
      <w:pPr>
        <w:pStyle w:val="BodyText"/>
        <w:jc w:val="both"/>
      </w:pPr>
      <w:r>
        <w:rPr>
          <w:b/>
          <w:bCs/>
        </w:rPr>
        <w:t xml:space="preserve">Class distribution.</w:t>
      </w:r>
      <w:r>
        <w:t xml:space="preserve"> </w:t>
      </w:r>
      <w:r>
        <w:t xml:space="preserve">N: 90,087 · S: 2,781 · V: 7,008 · F: 802 · Q: 15.</w:t>
      </w:r>
      <w:r>
        <w:t xml:space="preserve"> </w:t>
      </w:r>
      <w:r>
        <w:t xml:space="preserve">Class Q is degenerate and is reported as such throughout rather than being</w:t>
      </w:r>
      <w:r>
        <w:t xml:space="preserve"> </w:t>
      </w:r>
      <w:r>
        <w:t xml:space="preserve">merged away.</w:t>
      </w:r>
    </w:p>
    <w:p>
      <w:pPr>
        <w:pStyle w:val="BodyText"/>
        <w:jc w:val="both"/>
      </w:pPr>
      <w:r>
        <w:rPr>
          <w:b/>
          <w:bCs/>
        </w:rPr>
        <w:t xml:space="preserve">Inter-patient split.</w:t>
      </w:r>
      <w:r>
        <w:t xml:space="preserve"> </w:t>
      </w:r>
      <w:r>
        <w:t xml:space="preserve">We adopt the canonical DS1/DS2 partition (22 records</w:t>
      </w:r>
      <w:r>
        <w:t xml:space="preserve"> </w:t>
      </w:r>
      <w:r>
        <w:t xml:space="preserve">each; 51,000 and 49,693 beats respectively after boundary removal). Across the 44</w:t>
      </w:r>
      <w:r>
        <w:t xml:space="preserve"> </w:t>
      </w:r>
      <w:r>
        <w:t xml:space="preserve">retained records, sizes range from 1,517 to 3,361 beats with median 2,257 — three</w:t>
      </w:r>
      <w:r>
        <w:t xml:space="preserve"> </w:t>
      </w:r>
      <w:r>
        <w:t xml:space="preserve">orders of magnitude above PTB-XL’s block sizes, which is the property that places</w:t>
      </w:r>
      <w:r>
        <w:t xml:space="preserve"> </w:t>
      </w:r>
      <w:r>
        <w:t xml:space="preserve">MIT-BIH at the high-dose end of the axis.</w:t>
      </w:r>
    </w:p>
    <w:p>
      <w:pPr>
        <w:pStyle w:val="BodyText"/>
        <w:jc w:val="both"/>
      </w:pPr>
      <w:r>
        <w:rPr>
          <w:b/>
          <w:bCs/>
        </w:rPr>
        <w:t xml:space="preserve">Known limitation, retained rather than repaired.</w:t>
      </w:r>
      <w:r>
        <w:t xml:space="preserve"> </w:t>
      </w:r>
      <w:r>
        <w:t xml:space="preserve">Records 201 and 202 belong</w:t>
      </w:r>
      <w:r>
        <w:t xml:space="preserve"> </w:t>
      </w:r>
      <w:r>
        <w:t xml:space="preserve">to the same subject and fall on opposite sides of the canonical split. We keep</w:t>
      </w:r>
      <w:r>
        <w:t xml:space="preserve"> </w:t>
      </w:r>
      <w:r>
        <w:t xml:space="preserve">the standard partition for comparability with prior work and state the leak</w:t>
      </w:r>
      <w:r>
        <w:t xml:space="preserve"> </w:t>
      </w:r>
      <w:r>
        <w:t xml:space="preserve">explicitly.</w:t>
      </w:r>
    </w:p>
    <w:bookmarkEnd w:id="39"/>
    <w:bookmarkStart w:id="40" w:name="Xd46ce34465608c4b352733c086ebedbb1c7b921"/>
    <w:p>
      <w:pPr>
        <w:pStyle w:val="Heading2"/>
      </w:pPr>
      <w:r>
        <w:t xml:space="preserve">6.4 Challenge 2021 — an observability-limited case</w:t>
      </w:r>
    </w:p>
    <w:p>
      <w:pPr>
        <w:pStyle w:val="FirstParagraph"/>
        <w:jc w:val="both"/>
      </w:pPr>
      <w:r>
        <w:rPr>
          <w:b/>
          <w:bCs/>
        </w:rPr>
        <w:t xml:space="preserve">Structure.</w:t>
      </w:r>
      <w:r>
        <w:t xml:space="preserve"> </w:t>
      </w:r>
      <w:r>
        <w:t xml:space="preserve">The PhysioNet/CinC Challenge 2021 collection [13] spans seven</w:t>
      </w:r>
      <w:r>
        <w:t xml:space="preserve"> </w:t>
      </w:r>
      <w:r>
        <w:t xml:space="preserve">non-duplicate source folders containing 66,416 records, from</w:t>
      </w:r>
      <w:r>
        <w:t xml:space="preserve"> </w:t>
      </w:r>
      <w:r>
        <w:rPr>
          <w:rStyle w:val="VerbatimChar"/>
        </w:rPr>
        <w:t xml:space="preserve">ningbo</w:t>
      </w:r>
      <w:r>
        <w:t xml:space="preserve"> </w:t>
      </w:r>
      <w:r>
        <w:t xml:space="preserve">(34,905)</w:t>
      </w:r>
      <w:r>
        <w:t xml:space="preserve"> </w:t>
      </w:r>
      <w:r>
        <w:t xml:space="preserve">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is excluded</w:t>
      </w:r>
      <w:r>
        <w:t xml:space="preserve"> </w:t>
      </w:r>
      <w:r>
        <w:t xml:space="preserve">as a duplicate of §6.2, and the two totals sum to the official 88,253.</w:t>
      </w:r>
    </w:p>
    <w:p>
      <w:pPr>
        <w:pStyle w:val="BodyText"/>
        <w:jc w:val="both"/>
      </w:pPr>
      <w:r>
        <w:rPr>
          <w:b/>
          <w:bCs/>
        </w:rPr>
        <w:t xml:space="preserve">The patient partition is not documented.</w:t>
      </w:r>
      <w:r>
        <w:t xml:space="preserve"> </w:t>
      </w:r>
      <w:r>
        <w:t xml:space="preserve">In a sample of 42 headers drawn</w:t>
      </w:r>
      <w:r>
        <w:t xml:space="preserve"> </w:t>
      </w:r>
      <w:r>
        <w:t xml:space="preserve">from all seven sources, the fields present were</w:t>
      </w:r>
      <w:r>
        <w:t xml:space="preserve">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none is documented as a patient identifier.</w:t>
      </w:r>
      <w:r>
        <w:t xml:space="preserve"> </w:t>
      </w:r>
      <w:r>
        <w:t xml:space="preserve">This is a sample, not a census, and the header schema varies across sources, so</w:t>
      </w:r>
      <w:r>
        <w:t xml:space="preserve"> </w:t>
      </w:r>
      <w:r>
        <w:t xml:space="preserve">we claim only that no documented identifier appears in a sample spanning every</w:t>
      </w:r>
      <w:r>
        <w:t xml:space="preserve"> </w:t>
      </w:r>
      <w:r>
        <w:t xml:space="preserve">source. Repetition, by contrast,</w:t>
      </w:r>
      <w:r>
        <w:t xml:space="preserve"> </w:t>
      </w:r>
      <w:r>
        <w:rPr>
          <w:i/>
          <w:iCs/>
        </w:rPr>
        <w:t xml:space="preserve">is</w:t>
      </w:r>
      <w:r>
        <w:t xml:space="preserve"> </w:t>
      </w:r>
      <w:r>
        <w:t xml:space="preserve">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t xml:space="preserve">excluded</w:t>
      </w:r>
      <w:r>
        <w:t xml:space="preserve"> </w:t>
      </w:r>
      <w:r>
        <w:rPr>
          <w:rStyle w:val="VerbatimChar"/>
        </w:rPr>
        <w:t xml:space="preserve">ptb-xl</w:t>
      </w:r>
      <w:r>
        <w:t xml:space="preserve"> </w:t>
      </w:r>
      <w:r>
        <w:t xml:space="preserve">folder holds 21,837 records from 18,869 patients. The number of</w:t>
      </w:r>
      <w:r>
        <w:t xml:space="preserve"> </w:t>
      </w:r>
      <w:r>
        <w:t xml:space="preserve">records therefore exceeds the number of independent units, while the identifier</w:t>
      </w:r>
      <w:r>
        <w:t xml:space="preserve"> </w:t>
      </w:r>
      <w:r>
        <w:t xml:space="preserve">needed to form blocks is absent. An unobservable partition is not evidence of</w:t>
      </w:r>
      <w:r>
        <w:t xml:space="preserve"> </w:t>
      </w:r>
      <w:r>
        <w:t xml:space="preserve">independence.</w:t>
      </w:r>
    </w:p>
    <w:p>
      <w:pPr>
        <w:pStyle w:val="BodyText"/>
        <w:jc w:val="both"/>
      </w:pPr>
      <w:r>
        <w:rPr>
          <w:b/>
          <w:bCs/>
        </w:rPr>
        <w:t xml:space="preserve">Consequence for feasibility.</w:t>
      </w:r>
      <w:r>
        <w:t xml:space="preserve"> </w:t>
      </w:r>
      <w:r>
        <w:t xml:space="preserve">The only documented grouping is the source</w:t>
      </w:r>
      <w:r>
        <w:t xml:space="preserve"> </w:t>
      </w:r>
      <w:r>
        <w:t xml:space="preserve">partition, with</w:t>
      </w:r>
      <w:r>
        <w:t xml:space="preserve"> </w:t>
      </w:r>
      <m:oMath>
        <m:r>
          <m:t>K</m:t>
        </m:r>
        <m:r>
          <m:rPr>
            <m:sty m:val="p"/>
          </m:rPr>
          <m:t>=</m:t>
        </m:r>
        <m:r>
          <m:t>7</m:t>
        </m:r>
      </m:oMath>
      <w:r>
        <w:t xml:space="preserve">; by Proposition 1 any calibration on it has</w:t>
      </w:r>
      <w:r>
        <w:t xml:space="preserve"> </w:t>
      </w:r>
      <m:oMath>
        <m:sSub>
          <m:e>
            <m:r>
              <m:t>α</m:t>
            </m:r>
          </m:e>
          <m:sub>
            <m:r>
              <m:rPr>
                <m:sty m:val="p"/>
              </m:rPr>
              <m:t>min</m:t>
            </m:r>
          </m:sub>
        </m:sSub>
        <m:r>
          <m:rPr>
            <m:sty m:val="p"/>
          </m:rPr>
          <m:t>≥</m:t>
        </m:r>
        <m:r>
          <m:t>1</m:t>
        </m:r>
        <m:r>
          <m:rPr>
            <m:sty m:val="p"/>
          </m:rPr>
          <m:t>/</m:t>
        </m:r>
        <m:r>
          <m:t>8</m:t>
        </m:r>
      </m:oMath>
      <w:r>
        <w:t xml:space="preserve">, and</w:t>
      </w:r>
      <w:r>
        <w:t xml:space="preserve"> </w:t>
      </w:r>
      <m:oMath>
        <m:r>
          <m:t>1</m:t>
        </m:r>
        <m:r>
          <m:rPr>
            <m:sty m:val="p"/>
          </m:rPr>
          <m:t>/</m:t>
        </m:r>
        <m:r>
          <m:t>7</m:t>
        </m:r>
      </m:oMath>
      <w:r>
        <w:t xml:space="preserve"> </w:t>
      </w:r>
      <w:r>
        <w:t xml:space="preserve">if one source is held out for testing. This</w:t>
      </w:r>
      <w:r>
        <w:t xml:space="preserve"> </w:t>
      </w:r>
      <w:r>
        <w:t xml:space="preserve">bound concerns the source partition, not the dataset. For the patient partition,</w:t>
      </w:r>
      <w:r>
        <w:t xml:space="preserve"> </w:t>
      </w:r>
      <m:oMath>
        <m:sSub>
          <m:e>
            <m:r>
              <m:t>K</m:t>
            </m:r>
          </m:e>
          <m:sub>
            <m:r>
              <m:t>1</m:t>
            </m:r>
          </m:sub>
        </m:sSub>
      </m:oMath>
      <w:r>
        <w:t xml:space="preserve"> </w:t>
      </w:r>
      <w:r>
        <w:t xml:space="preserve">ceases to be a computable quantity and becomes an assumption that an author</w:t>
      </w:r>
      <w:r>
        <w:t xml:space="preserve"> </w:t>
      </w:r>
      <w:r>
        <w:t xml:space="preserve">must state; we therefore report no single</w:t>
      </w:r>
      <w:r>
        <w:t xml:space="preserve"> </w:t>
      </w:r>
      <m:oMath>
        <m:sSub>
          <m:e>
            <m:r>
              <m:t>α</m:t>
            </m:r>
          </m:e>
          <m:sub>
            <m:r>
              <m:rPr>
                <m:sty m:val="p"/>
              </m:rPr>
              <m:t>min</m:t>
            </m:r>
          </m:sub>
        </m:sSub>
      </m:oMath>
      <w:r>
        <w:t xml:space="preserve"> </w:t>
      </w:r>
      <w:r>
        <w:t xml:space="preserve">for Challenge 2021.</w:t>
      </w:r>
      <w:r>
        <w:t xml:space="preserve"> </w:t>
      </w:r>
      <w:r>
        <w:t xml:space="preserve">Further, the sufficiency condition of §5.2 presupposes that dependence is</w:t>
      </w:r>
      <w:r>
        <w:t xml:space="preserve"> </w:t>
      </w:r>
      <w:r>
        <w:t xml:space="preserve">generated by a latent block structure [9]. If similarity within an institution</w:t>
      </w:r>
      <w:r>
        <w:t xml:space="preserve"> </w:t>
      </w:r>
      <w:r>
        <w:t xml:space="preserve">decayed continuously, for instance with proximity of acquisition protocol, no</w:t>
      </w:r>
      <w:r>
        <w:t xml:space="preserve"> </w:t>
      </w:r>
      <w:r>
        <w:t xml:space="preserve">partition would exist and the condition would be ill-posed rather than merely</w:t>
      </w:r>
      <w:r>
        <w:t xml:space="preserve"> </w:t>
      </w:r>
      <w:r>
        <w:t xml:space="preserve">unobservable.</w:t>
      </w:r>
    </w:p>
    <w:p>
      <w:pPr>
        <w:pStyle w:val="BodyText"/>
        <w:jc w:val="both"/>
      </w:pPr>
      <w:r>
        <w:rPr>
          <w:b/>
          <w:bCs/>
        </w:rPr>
        <w:t xml:space="preserve">Cost.</w:t>
      </w:r>
      <w:r>
        <w:t xml:space="preserve"> </w:t>
      </w:r>
      <w:r>
        <w:t xml:space="preserve">These checks required about 0.5 MB of downloads (70 index files and 42</w:t>
      </w:r>
      <w:r>
        <w:t xml:space="preserve"> </w:t>
      </w:r>
      <w:r>
        <w:t xml:space="preserve">headers) against a 12.6 GB dataset, and were completed before any preprocessing</w:t>
      </w:r>
      <w:r>
        <w:t xml:space="preserve"> </w:t>
      </w:r>
      <w:r>
        <w:t xml:space="preserve">or training.</w:t>
      </w:r>
    </w:p>
    <w:p>
      <w:pPr>
        <w:pStyle w:val="BodyText"/>
        <w:jc w:val="both"/>
      </w:pPr>
      <w:r>
        <w:rPr>
          <w:b/>
          <w:bCs/>
        </w:rPr>
        <w:t xml:space="preserve">Cost of the verdict.</w:t>
      </w:r>
      <w:r>
        <w:t xml:space="preserve"> </w:t>
      </w:r>
      <w:r>
        <w:t xml:space="preserve">All checks above required roughly 0.5 MB of downloads</w:t>
      </w:r>
      <w:r>
        <w:t xml:space="preserve"> </w:t>
      </w:r>
      <w:r>
        <w:t xml:space="preserve">(70 index files and 42 headers) against a 12.6 GB dataset, and were completed</w:t>
      </w:r>
      <w:r>
        <w:t xml:space="preserve"> </w:t>
      </w:r>
      <w:r>
        <w:t xml:space="preserve">before any preprocessing or model training.</w:t>
      </w:r>
    </w:p>
    <w:p>
      <w:r>
        <w:pict>
          <v:rect style="width:0;height:1.5pt" o:hralign="center" o:hrstd="t" o:hr="t"/>
        </w:pict>
      </w:r>
    </w:p>
    <w:bookmarkEnd w:id="40"/>
    <w:bookmarkEnd w:id="41"/>
    <w:bookmarkStart w:id="48" w:name="experimental-setup"/>
    <w:p>
      <w:pPr>
        <w:pStyle w:val="Heading1"/>
      </w:pPr>
      <w:r>
        <w:t xml:space="preserve">7. Experimental Setup</w:t>
      </w:r>
    </w:p>
    <w:bookmarkStart w:id="42" w:name="backbone"/>
    <w:p>
      <w:pPr>
        <w:pStyle w:val="Heading2"/>
      </w:pPr>
      <w:r>
        <w:t xml:space="preserve">7.1 Backbone</w:t>
      </w:r>
    </w:p>
    <w:p>
      <w:pPr>
        <w:pStyle w:val="FirstParagraph"/>
        <w:jc w:val="both"/>
      </w:pPr>
      <w:r>
        <w:t xml:space="preserve">Conformal guarantees are model-agnostic; the backbone affects the size of</w:t>
      </w:r>
      <w:r>
        <w:t xml:space="preserve"> </w:t>
      </w:r>
      <w:r>
        <w:t xml:space="preserve">prediction sets, not their validity. The primary backbone is therefore a</w:t>
      </w:r>
      <w:r>
        <w:t xml:space="preserve"> </w:t>
      </w:r>
      <w:r>
        <w:t xml:space="preserve">deliberately compact 1-D convolutional network (SmallECGNet) with 104,389</w:t>
      </w:r>
      <w:r>
        <w:t xml:space="preserve"> </w:t>
      </w:r>
      <w:r>
        <w:t xml:space="preserve">parameters for the 12-lead configuration and 101,925 for single-lead. To test</w:t>
      </w:r>
      <w:r>
        <w:t xml:space="preserve"> </w:t>
      </w:r>
      <w:r>
        <w:t xml:space="preserve">whether any finding depends on this choice, every audit is repeated with two 1-D</w:t>
      </w:r>
      <w:r>
        <w:t xml:space="preserve"> </w:t>
      </w:r>
      <w:r>
        <w:t xml:space="preserve">residual networks following the PTB-XL benchmark family [1]: ResNet1D-34</w:t>
      </w:r>
      <w:r>
        <w:t xml:space="preserve"> </w:t>
      </w:r>
      <w:r>
        <w:t xml:space="preserve">(7,225,733 / 7,220,805 parameters) and ResNet1D-50 (15,969,413 / 15,964,485).</w:t>
      </w:r>
      <w:r>
        <w:t xml:space="preserve"> </w:t>
      </w:r>
      <w:r>
        <w:t xml:space="preserve">The residual networks are trained with Adam (learning rate</w:t>
      </w:r>
      <w:r>
        <w:t xml:space="preserve"> </w:t>
      </w:r>
      <m:oMath>
        <m:sSup>
          <m:e>
            <m:r>
              <m:t>10</m:t>
            </m:r>
          </m:e>
          <m:sup>
            <m:r>
              <m:rPr>
                <m:sty m:val="p"/>
              </m:rPr>
              <m:t>−</m:t>
            </m:r>
            <m:r>
              <m:t>3</m:t>
            </m:r>
          </m:sup>
        </m:sSup>
      </m:oMath>
      <w:r>
        <w:t xml:space="preserve">), early</w:t>
      </w:r>
      <w:r>
        <w:t xml:space="preserve"> </w:t>
      </w:r>
      <w:r>
        <w:t xml:space="preserve">stopping on validation loss with patience 5, and a maximum of 25 (PTB-XL) or 30</w:t>
      </w:r>
      <w:r>
        <w:t xml:space="preserve"> </w:t>
      </w:r>
      <w:r>
        <w:t xml:space="preserve">(MIT-BIH) epochs; SmallECGNet weights are reused from the primary study without</w:t>
      </w:r>
      <w:r>
        <w:t xml:space="preserve"> </w:t>
      </w:r>
      <w:r>
        <w:t xml:space="preserve">retraining.</w:t>
      </w:r>
    </w:p>
    <w:p>
      <w:pPr>
        <w:pStyle w:val="BodyText"/>
        <w:jc w:val="both"/>
      </w:pPr>
      <w:r>
        <w:t xml:space="preserve">The primary backbone reaches macro-AUROC 0.9016 on PTB-XL and accuracy 0.8690</w:t>
      </w:r>
      <w:r>
        <w:t xml:space="preserve"> </w:t>
      </w:r>
      <w:r>
        <w:t xml:space="preserve">(balanced accuracy 0.3748, macro-F1 0.3144) on MIT-BIH. The MIT-BIH figures are</w:t>
      </w:r>
      <w:r>
        <w:t xml:space="preserve"> </w:t>
      </w:r>
      <w:r>
        <w:t xml:space="preserve">weak on minority classes; this affects set size and not coverage.</w:t>
      </w:r>
    </w:p>
    <w:bookmarkEnd w:id="42"/>
    <w:bookmarkStart w:id="43" w:name="splits"/>
    <w:p>
      <w:pPr>
        <w:pStyle w:val="Heading2"/>
      </w:pPr>
      <w:r>
        <w:t xml:space="preserve">7.2 Splits</w:t>
      </w:r>
    </w:p>
    <w:p>
      <w:pPr>
        <w:pStyle w:val="FirstParagraph"/>
        <w:jc w:val="both"/>
      </w:pPr>
      <w:r>
        <w:rPr>
          <w:b/>
          <w:bCs/>
        </w:rPr>
        <w:t xml:space="preserve">PTB-XL.</w:t>
      </w:r>
      <w:r>
        <w:t xml:space="preserve"> </w:t>
      </w:r>
      <w:r>
        <w:t xml:space="preserve">Folds 1–6 for training, fold 7 for validation, fold 9 for</w:t>
      </w:r>
      <w:r>
        <w:t xml:space="preserve"> </w:t>
      </w:r>
      <w:r>
        <w:t xml:space="preserve">calibration and evaluation, split at the patient level and repeated 200–400</w:t>
      </w:r>
      <w:r>
        <w:t xml:space="preserve"> </w:t>
      </w:r>
      <w:r>
        <w:t xml:space="preserve">times. Folds 8 and 10 are untouched: fold 8 because its label quality differs</w:t>
      </w:r>
      <w:r>
        <w:t xml:space="preserve"> </w:t>
      </w:r>
      <w:r>
        <w:t xml:space="preserve">from fold 9, and fold 10 because it is reserved for a single final confirmatory</w:t>
      </w:r>
      <w:r>
        <w:t xml:space="preserve"> </w:t>
      </w:r>
      <w:r>
        <w:t xml:space="preserve">evaluation.</w:t>
      </w:r>
    </w:p>
    <w:p>
      <w:pPr>
        <w:pStyle w:val="BodyText"/>
        <w:jc w:val="both"/>
      </w:pPr>
      <w:r>
        <w:rPr>
          <w:b/>
          <w:bCs/>
        </w:rPr>
        <w:t xml:space="preserve">MIT-BIH.</w:t>
      </w:r>
      <w:r>
        <w:t xml:space="preserve"> </w:t>
      </w:r>
      <w:r>
        <w:t xml:space="preserve">DS1 minus four validation records (124, 205, 215, 230) for</w:t>
      </w:r>
      <w:r>
        <w:t xml:space="preserve"> </w:t>
      </w:r>
      <w:r>
        <w:t xml:space="preserve">training; those four for validation; DS2 split 11/11 at the record level for</w:t>
      </w:r>
      <w:r>
        <w:t xml:space="preserve"> </w:t>
      </w:r>
      <w:r>
        <w:t xml:space="preserve">calibration and evaluation, repeated 200–400 times.</w:t>
      </w:r>
    </w:p>
    <w:bookmarkEnd w:id="43"/>
    <w:bookmarkStart w:id="44" w:name="conformity-scores"/>
    <w:p>
      <w:pPr>
        <w:pStyle w:val="Heading2"/>
      </w:pPr>
      <w:r>
        <w:t xml:space="preserve">7.3 Conformity scores</w:t>
      </w:r>
    </w:p>
    <w:p>
      <w:pPr>
        <w:pStyle w:val="FirstParagraph"/>
        <w:jc w:val="both"/>
      </w:pPr>
      <w:r>
        <w:t xml:space="preserve">For multi-class MIT-BIH we use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w:t>
      </w:r>
      <w:r>
        <w:t xml:space="preserve"> </w:t>
      </w:r>
      <w:r>
        <w:t xml:space="preserve">the 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w:t>
      </w:r>
      <w:r>
        <w:t xml:space="preserve"> </w:t>
      </w:r>
      <w:r>
        <w:t xml:space="preserve">superset coverage is the maximum over true labels — the construction that, as</w:t>
      </w:r>
      <w:r>
        <w:t xml:space="preserve"> </w:t>
      </w:r>
      <w:r>
        <w:t xml:space="preserve">noted in §5.3.1, reduces exactly to scalar HCP.</w:t>
      </w:r>
    </w:p>
    <w:bookmarkEnd w:id="44"/>
    <w:bookmarkStart w:id="45" w:name="methods-compared"/>
    <w:p>
      <w:pPr>
        <w:pStyle w:val="Heading2"/>
      </w:pPr>
      <w:r>
        <w:t xml:space="preserve">7.4 Methods compared</w:t>
      </w:r>
    </w:p>
    <w:p>
      <w:pPr>
        <w:pStyle w:val="FirstParagraph"/>
        <w:jc w:val="both"/>
      </w:pPr>
      <w:r>
        <w:t xml:space="preserve">The audit compares two procedures: split conformal prediction calibrated as if</w:t>
      </w:r>
      <w:r>
        <w:t xml:space="preserve"> </w:t>
      </w:r>
      <w:r>
        <w:t xml:space="preserve">records or beats were exchangeable (B1), and HCP calibrated at the block level</w:t>
      </w:r>
      <w:r>
        <w:t xml:space="preserve"> </w:t>
      </w:r>
      <w:r>
        <w:t xml:space="preserve">(B12) [9]. The question is whether a guarantee can be enforced at all, not which</w:t>
      </w:r>
      <w:r>
        <w:t xml:space="preserve"> </w:t>
      </w:r>
      <w:r>
        <w:t xml:space="preserve">hierarchical construction is most efficient; the alternatives of Dunn et al.</w:t>
      </w:r>
      <w:r>
        <w:t xml:space="preserve"> </w:t>
      </w:r>
      <w:r>
        <w:t xml:space="preserve">[10] and non-hierarchical variants such as Mondrian conformal prediction are</w:t>
      </w:r>
      <w:r>
        <w:t xml:space="preserve"> </w:t>
      </w:r>
      <w:r>
        <w:t xml:space="preserve">therefore outside the scope of the comparison.</w:t>
      </w:r>
    </w:p>
    <w:bookmarkEnd w:id="45"/>
    <w:bookmarkStart w:id="46" w:name="statistical-analysis"/>
    <w:p>
      <w:pPr>
        <w:pStyle w:val="Heading2"/>
      </w:pPr>
      <w:r>
        <w:t xml:space="preserve">7.5 Statistical analysis</w:t>
      </w:r>
    </w:p>
    <w:p>
      <w:pPr>
        <w:pStyle w:val="FirstParagraph"/>
        <w:jc w:val="both"/>
      </w:pPr>
      <w:r>
        <w:t xml:space="preserve">The procedures are summarised in Table IV. Every resampling step operates on</w:t>
      </w:r>
      <w:r>
        <w:t xml:space="preserve"> </w:t>
      </w:r>
      <w:r>
        <w:t xml:space="preserve">blocks — patients or records — never on individual records or beats, since doing</w:t>
      </w:r>
      <w:r>
        <w:t xml:space="preserve"> </w:t>
      </w:r>
      <w:r>
        <w:t xml:space="preserve">otherwise would reproduce the error this paper analyses.</w:t>
      </w:r>
    </w:p>
    <w:p>
      <w:pPr>
        <w:pStyle w:val="BodyText"/>
        <w:keepNext/>
        <w:spacing w:before="160"/>
        <w:jc w:val="center"/>
      </w:pPr>
      <w:r/>
      <w:r>
        <w:rPr>
          <w:sz w:val="18"/>
        </w:rPr>
        <w:t>TABLE IV</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pPr>
            <w:r>
              <w:rPr>
                <w:b/>
                <w:sz w:val="17"/>
              </w:rPr>
              <w:t xml:space="preserve">Quantity</w:t>
            </w:r>
          </w:p>
        </w:tc>
        <w:tc>
          <w:tcPr/>
          <w:p>
            <w:pPr>
              <w:pStyle w:val="Compact"/>
            </w:pPr>
            <w:r>
              <w:rPr>
                <w:b/>
                <w:sz w:val="17"/>
              </w:rPr>
              <w:t xml:space="preserve">Procedure</w:t>
            </w:r>
          </w:p>
        </w:tc>
      </w:tr>
      <w:t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c>
          <w:tcPr/>
          <w:p>
            <w:pPr>
              <w:pStyle w:val="Compact"/>
            </w:pPr>
            <w:r>
              <w:rPr>
                <w:sz w:val="17"/>
              </w:rPr>
              <w:t xml:space="preserve">B1 deficit against the permutation null</w:t>
            </w:r>
          </w:p>
        </w:tc>
        <w:tc>
          <w:tcPr/>
          <w:p>
            <w:pPr>
              <w:pStyle w:val="Compact"/>
            </w:pPr>
            <w:r>
              <w:rPr>
                <w:sz w:val="17"/>
              </w:rPr>
              <w:t xml:space="preserve">Percentile bootstrap (4,000 resamples of split-level coverage), 95% CI; one-sided bootstrap</w:t>
            </w:r>
            <w:r>
              <w:rPr>
                <w:sz w:val="17"/>
              </w:rPr>
              <w:t xml:space="preserve"> </w:t>
            </w:r>
            <m:oMath>
              <m:r>
                <m:t>p</m:t>
              </m:r>
            </m:oMath>
          </w:p>
        </w:tc>
      </w:tr>
      <w:t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pPr>
            <w:r>
              <w:rPr>
                <w:sz w:val="17"/>
              </w:rPr>
              <w:t xml:space="preserve">Factorial effects</w:t>
            </w:r>
          </w:p>
        </w:tc>
        <w:tc>
          <w:tcPr/>
          <w:p>
            <w:pPr>
              <w:pStyle w:val="Compact"/>
            </w:pPr>
            <w:r>
              <w:rPr>
                <w:sz w:val="17"/>
              </w:rPr>
              <w:t xml:space="preserve">Percentile bootstrap (3,000 resamples of 400 split-level values), 95% CI</w:t>
            </w:r>
          </w:p>
        </w:tc>
      </w:tr>
      <w:tr>
        <w:tc>
          <w:tcPr/>
          <w:p>
            <w:pPr>
              <w:pStyle w:val="Compact"/>
            </w:pPr>
            <w:r>
              <w:rPr>
                <w:sz w:val="17"/>
              </w:rPr>
              <w:t xml:space="preserve">Monotonicity in dependence</w:t>
            </w:r>
          </w:p>
        </w:tc>
        <w:tc>
          <w:tcPr/>
          <w:p>
            <w:pPr>
              <w:pStyle w:val="Compac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p>
      <w:pPr>
        <w:pStyle w:val="BodyText"/>
        <w:jc w:val="both"/>
      </w:pPr>
      <w:r>
        <w:t xml:space="preserve">Friedman and Nemenyi tests are not used. The procedure of Demšar is designed for</w:t>
      </w:r>
      <w:r>
        <w:t xml:space="preserve"> </w:t>
      </w:r>
      <w:r>
        <w:t xml:space="preserve">comparing many classifiers across many datasets, conventionally at least five;</w:t>
      </w:r>
      <w:r>
        <w:t xml:space="preserve"> </w:t>
      </w:r>
      <w:r>
        <w:t xml:space="preserve">with two datasets it is uninformative.</w:t>
      </w:r>
    </w:p>
    <w:bookmarkEnd w:id="46"/>
    <w:bookmarkStart w:id="47" w:name="reproducibility"/>
    <w:p>
      <w:pPr>
        <w:pStyle w:val="Heading2"/>
      </w:pPr>
      <w:r>
        <w:t xml:space="preserve">7.6 Reproducibility</w:t>
      </w:r>
    </w:p>
    <w:p>
      <w:pPr>
        <w:pStyle w:val="FirstParagraph"/>
        <w:jc w:val="both"/>
      </w:pPr>
      <w:r>
        <w:t xml:space="preserve">All experiments run on CPU (2 threads). Every reported figure is written to a</w:t>
      </w:r>
      <w:r>
        <w:t xml:space="preserve"> </w:t>
      </w:r>
      <w:r>
        <w:t xml:space="preserve">JSON artefact under</w:t>
      </w:r>
      <w:r>
        <w:t xml:space="preserve"> </w:t>
      </w:r>
      <w:r>
        <w:rPr>
          <w:rStyle w:val="VerbatimChar"/>
        </w:rPr>
        <w:t xml:space="preserve">results/raw/</w:t>
      </w:r>
      <w:r>
        <w:t xml:space="preserve"> </w:t>
      </w:r>
      <w:r>
        <w:t xml:space="preserve">recording the configuration that produced it.</w:t>
      </w:r>
      <w:r>
        <w:t xml:space="preserve"> </w:t>
      </w:r>
      <w:r>
        <w:t xml:space="preserve">Random seeds are fixed and stated. Dataset caches are written atomically — to a</w:t>
      </w:r>
      <w:r>
        <w:t xml:space="preserve"> </w:t>
      </w:r>
      <w:r>
        <w:t xml:space="preserve">temporary file followed by an atomic rename — so that an interrupted run cannot</w:t>
      </w:r>
      <w:r>
        <w:t xml:space="preserve"> </w:t>
      </w:r>
      <w:r>
        <w:t xml:space="preserve">leave a partially written cache that a later run would silently treat as valid.</w:t>
      </w:r>
    </w:p>
    <w:bookmarkEnd w:id="47"/>
    <w:bookmarkEnd w:id="48"/>
    <w:bookmarkStart w:id="69" w:name="results"/>
    <w:p>
      <w:pPr>
        <w:pStyle w:val="Heading1"/>
      </w:pPr>
      <w:r>
        <w:t xml:space="preserve">8. Results</w:t>
      </w:r>
    </w:p>
    <w:p>
      <w:pPr>
        <w:pStyle w:val="FirstParagraph"/>
        <w:jc w:val="both"/>
      </w:pPr>
      <w:r>
        <w:t xml:space="preserve">We report results in the order of the audit: first what can be decided before</w:t>
      </w:r>
      <w:r>
        <w:t xml:space="preserve"> </w:t>
      </w:r>
      <w:r>
        <w:t xml:space="preserve">any model is trained (§8.1), then what a trained model reveals about coverage</w:t>
      </w:r>
      <w:r>
        <w:t xml:space="preserve"> </w:t>
      </w:r>
      <w:r>
        <w:t xml:space="preserve">(§8.2), whether the observed deficit is attributable to dependence (§8.3), how it</w:t>
      </w:r>
      <w:r>
        <w:t xml:space="preserve"> </w:t>
      </w:r>
      <w:r>
        <w:t xml:space="preserve">scales with the design effect (§8.4), and how robust these findings are to the</w:t>
      </w:r>
      <w:r>
        <w:t xml:space="preserve"> </w:t>
      </w:r>
      <w:r>
        <w:t xml:space="preserve">choice of backbone and checkpoint (§8.5).</w:t>
      </w:r>
    </w:p>
    <w:p>
      <w:pPr>
        <w:pStyle w:val="BodyText"/>
        <w:jc w:val="both"/>
      </w:pPr>
      <w:r>
        <w:t xml:space="preserve">Throughout, B1 denotes split conformal prediction calibrated as if records (or</w:t>
      </w:r>
      <w:r>
        <w:t xml:space="preserve"> </w:t>
      </w:r>
      <w:r>
        <w:t xml:space="preserve">beats) were exchangeable, and B12 denotes hierarchical conformal prediction (HCP)</w:t>
      </w:r>
      <w:r>
        <w:t xml:space="preserve"> </w:t>
      </w:r>
      <w:r>
        <w:t xml:space="preserve">[9] calibrated at the block level.</w:t>
      </w:r>
      <w:r>
        <w:t xml:space="preserve"> </w:t>
      </w:r>
      <m:oMath>
        <m:sSub>
          <m:e>
            <m:r>
              <m:t>K</m:t>
            </m:r>
          </m:e>
          <m:sub>
            <m:r>
              <m:t>1</m:t>
            </m:r>
          </m:sub>
        </m:sSub>
      </m:oMath>
      <w:r>
        <w:t xml:space="preserve"> </w:t>
      </w:r>
      <w:r>
        <w:t xml:space="preserve">is the number of calibration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smallest error rate at which HCP returns a finite</w:t>
      </w:r>
      <w:r>
        <w:t xml:space="preserve"> </w:t>
      </w:r>
      <w:r>
        <w:t xml:space="preserve">threshold (Proposition 1).</w:t>
      </w:r>
    </w:p>
    <w:bookmarkStart w:id="55" w:name="X703171b6c9ef8344f5ae4ef526c91a89ce0ec43"/>
    <w:p>
      <w:pPr>
        <w:pStyle w:val="Heading2"/>
      </w:pPr>
      <w:r>
        <w:t xml:space="preserve">8.1 Feasibility is decided by the partition, not by the model</w:t>
      </w:r>
    </w:p>
    <w:p>
      <w:pPr>
        <w:pStyle w:val="FirstParagraph"/>
        <w:jc w:val="both"/>
      </w:pPr>
      <w:r>
        <w:rPr>
          <w:b/>
          <w:bCs/>
        </w:rPr>
        <w:t xml:space="preserve">Granularity.</w:t>
      </w:r>
      <w:r>
        <w:t xml:space="preserve"> </w:t>
      </w:r>
      <w:r>
        <w:t xml:space="preserve">Table V applies Proposition 1 to the PTB-XL calibration fold</w:t>
      </w:r>
      <w:r>
        <w:t xml:space="preserve"> </w:t>
      </w:r>
      <w:r>
        <w:t xml:space="preserve">(fold 9, 2,183 records) under each candidate grouping. Blocking by patient is</w:t>
      </w:r>
      <w:r>
        <w:t xml:space="preserve"> </w:t>
      </w:r>
      <w:r>
        <w:t xml:space="preserve">feasible at every conventional</w:t>
      </w:r>
      <w:r>
        <w:t xml:space="preserve"> </w:t>
      </w:r>
      <m:oMath>
        <m:r>
          <m:t>α</m:t>
        </m:r>
      </m:oMath>
      <w:r>
        <w:t xml:space="preserve">. Every coarser source restricts the</w:t>
      </w:r>
      <w:r>
        <w:t xml:space="preserve"> </w:t>
      </w:r>
      <w:r>
        <w:t xml:space="preserve">admissible range:</w:t>
      </w:r>
      <w:r>
        <w:t xml:space="preserve"> </w:t>
      </w:r>
      <w:r>
        <w:rPr>
          <w:rStyle w:val="VerbatimChar"/>
        </w:rPr>
        <w:t xml:space="preserve">nurse</w:t>
      </w:r>
      <w:r>
        <w:t xml:space="preserve"> </w:t>
      </w:r>
      <w:r>
        <w:t xml:space="preserve">and</w:t>
      </w:r>
      <w:r>
        <w:t xml:space="preserve"> </w:t>
      </w:r>
      <w:r>
        <w:rPr>
          <w:rStyle w:val="VerbatimChar"/>
        </w:rPr>
        <w:t xml:space="preserve">device</w:t>
      </w:r>
      <w:r>
        <w:t xml:space="preserve"> </w:t>
      </w:r>
      <w:r>
        <w:t xml:space="preserve">exclude</w:t>
      </w:r>
      <w:r>
        <w:t xml:space="preserve"> </w:t>
      </w:r>
      <m:oMath>
        <m:r>
          <m:t>α</m:t>
        </m:r>
        <m:r>
          <m:rPr>
            <m:sty m:val="p"/>
          </m:rPr>
          <m:t>=</m:t>
        </m:r>
        <m:r>
          <m:t>0.05</m:t>
        </m:r>
      </m:oMath>
      <w:r>
        <w:t xml:space="preserve">, and</w:t>
      </w:r>
      <w:r>
        <w:t xml:space="preserve"> </w:t>
      </w:r>
      <w:r>
        <w:rPr>
          <w:rStyle w:val="VerbatimChar"/>
        </w:rPr>
        <w:t xml:space="preserve">strat_fold</w:t>
      </w:r>
      <w:r>
        <w:t xml:space="preserve"> </w:t>
      </w:r>
      <w:r>
        <w:t xml:space="preserve">admits only</w:t>
      </w:r>
      <w:r>
        <w:t xml:space="preserve"> </w:t>
      </w:r>
      <m:oMath>
        <m:r>
          <m:t>α</m:t>
        </m:r>
        <m:r>
          <m:rPr>
            <m:sty m:val="p"/>
          </m:rPr>
          <m:t>=</m:t>
        </m:r>
        <m:r>
          <m:t>0.20</m:t>
        </m:r>
      </m:oMath>
      <w:r>
        <w:t xml:space="preserve">.</w:t>
      </w:r>
    </w:p>
    <w:p>
      <w:pPr>
        <w:pStyle w:val="BodyText"/>
        <w:keepNext/>
        <w:spacing w:before="160"/>
        <w:jc w:val="center"/>
      </w:pPr>
      <w:r/>
      <w:r>
        <w:rPr>
          <w:sz w:val="18"/>
        </w:rPr>
        <w:t>TABLE V</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pPr>
            <w:r>
              <w:rPr>
                <w:b/>
                <w:sz w:val="17"/>
              </w:rPr>
              <w:t xml:space="preserve">Grouping</w:t>
            </w:r>
          </w:p>
        </w:tc>
        <w:tc>
          <w:tcPr/>
          <w:p>
            <w:pPr>
              <w:pStyle w:val="Compact"/>
              <w:jc w:val="right"/>
            </w:pPr>
            <w:r>
              <w:rPr>
                <w:b/>
                <w:sz w:val="17"/>
              </w:rPr>
              <w:t xml:space="preserve">Blocks (all folds)</w:t>
            </w:r>
          </w:p>
        </w:tc>
        <w:tc>
          <w:tcPr/>
          <w:p>
            <w:pPr>
              <w:pStyle w:val="Compact"/>
              <w:jc w:val="right"/>
            </w:pPr>
            <m:oMath>
              <m:sSub>
                <m:e>
                  <m:r>
                    <m:t>K</m:t>
                  </m:r>
                </m:e>
                <m:sub>
                  <m:r>
                    <m:t>1</m:t>
                  </m:r>
                </m:sub>
              </m:sSub>
            </m:oMath>
          </w:p>
        </w:tc>
        <w:tc>
          <w:tcPr/>
          <w:p>
            <w:pPr>
              <w:pStyle w:val="Compact"/>
              <w:jc w:val="right"/>
            </w:pPr>
            <w:r>
              <w:rPr>
                <w:b/>
                <w:sz w:val="17"/>
              </w:rPr>
              <w:t xml:space="preserve">Mean block size</w:t>
            </w:r>
          </w:p>
        </w:tc>
        <w:tc>
          <w:tcPr/>
          <w:p>
            <w:pPr>
              <w:pStyle w:val="Compact"/>
              <w:jc w:val="right"/>
            </w:pPr>
            <m:oMath>
              <m:sSub>
                <m:e>
                  <m:r>
                    <m:t>α</m:t>
                  </m:r>
                </m:e>
                <m:sub>
                  <m:r>
                    <m:rPr>
                      <m:sty m:val="p"/>
                    </m:rPr>
                    <m:t>min</m:t>
                  </m:r>
                </m:sub>
              </m:sSub>
            </m:oMath>
          </w:p>
        </w:tc>
        <w:tc>
          <w:tcPr/>
          <w:p>
            <w:pPr>
              <w:pStyle w:val="Compact"/>
              <w:jc w:val="center"/>
            </w:pPr>
            <w:r>
              <w:rPr>
                <w:b/>
                <w:sz w:val="17"/>
              </w:rPr>
              <w:t xml:space="preserve">0.01</w:t>
            </w:r>
          </w:p>
        </w:tc>
        <w:tc>
          <w:tcPr/>
          <w:p>
            <w:pPr>
              <w:pStyle w:val="Compact"/>
              <w:jc w:val="center"/>
            </w:pPr>
            <w:r>
              <w:rPr>
                <w:b/>
                <w:sz w:val="17"/>
              </w:rPr>
              <w:t xml:space="preserve">0.05</w:t>
            </w:r>
          </w:p>
        </w:tc>
        <w:tc>
          <w:tcPr/>
          <w:p>
            <w:pPr>
              <w:pStyle w:val="Compact"/>
              <w:jc w:val="center"/>
            </w:pPr>
            <w:r>
              <w:rPr>
                <w:b/>
                <w:sz w:val="17"/>
              </w:rPr>
              <w:t xml:space="preserve">0.10</w:t>
            </w:r>
          </w:p>
        </w:tc>
        <w:tc>
          <w:tcPr/>
          <w:p>
            <w:pPr>
              <w:pStyle w:val="Compact"/>
              <w:jc w:val="center"/>
            </w:pPr>
            <w:r>
              <w:rPr>
                <w:b/>
                <w:sz w:val="17"/>
              </w:rPr>
              <w:t xml:space="preserve">0.20</w:t>
            </w:r>
          </w:p>
        </w:tc>
      </w:tr>
      <w:tr>
        <w:tc>
          <w:tcPr/>
          <w:p>
            <w:pPr>
              <w:pStyle w:val="Compact"/>
            </w:pPr>
            <w:r>
              <w:rPr>
                <w:sz w:val="17"/>
              </w:rPr>
              <w:t xml:space="preserve">patient_id</w:t>
            </w:r>
          </w:p>
        </w:tc>
        <w:tc>
          <w:tcPr/>
          <w:p>
            <w:pPr>
              <w:pStyle w:val="Compact"/>
              <w:jc w:val="right"/>
            </w:pPr>
            <w:r>
              <w:rPr>
                <w:sz w:val="17"/>
              </w:rPr>
              <w:t xml:space="preserve">18,869</w:t>
            </w:r>
          </w:p>
        </w:tc>
        <w:tc>
          <w:tcPr/>
          <w:p>
            <w:pPr>
              <w:pStyle w:val="Compact"/>
              <w:jc w:val="right"/>
            </w:pPr>
            <w:r>
              <w:rPr>
                <w:sz w:val="17"/>
              </w:rPr>
              <w:t xml:space="preserve">1,942</w:t>
            </w:r>
          </w:p>
        </w:tc>
        <w:tc>
          <w:tcPr/>
          <w:p>
            <w:pPr>
              <w:pStyle w:val="Compact"/>
              <w:jc w:val="right"/>
            </w:pPr>
            <w:r>
              <w:rPr>
                <w:sz w:val="17"/>
              </w:rPr>
              <w:t xml:space="preserve">1.12</w:t>
            </w:r>
          </w:p>
        </w:tc>
        <w:tc>
          <w:tcPr/>
          <w:p>
            <w:pPr>
              <w:pStyle w:val="Compact"/>
              <w:jc w:val="right"/>
            </w:pPr>
            <w:r>
              <w:rPr>
                <w:sz w:val="17"/>
              </w:rPr>
              <w:t xml:space="preserve">0.00051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site</w:t>
            </w:r>
          </w:p>
        </w:tc>
        <w:tc>
          <w:tcPr/>
          <w:p>
            <w:pPr>
              <w:pStyle w:val="Compact"/>
              <w:jc w:val="right"/>
            </w:pPr>
            <w:r>
              <w:rPr>
                <w:sz w:val="17"/>
              </w:rPr>
              <w:t xml:space="preserve">51</w:t>
            </w:r>
          </w:p>
        </w:tc>
        <w:tc>
          <w:tcPr/>
          <w:p>
            <w:pPr>
              <w:pStyle w:val="Compact"/>
              <w:jc w:val="right"/>
            </w:pPr>
            <w:r>
              <w:rPr>
                <w:sz w:val="17"/>
              </w:rPr>
              <w:t xml:space="preserve">40</w:t>
            </w:r>
          </w:p>
        </w:tc>
        <w:tc>
          <w:tcPr/>
          <w:p>
            <w:pPr>
              <w:pStyle w:val="Compact"/>
              <w:jc w:val="right"/>
            </w:pPr>
            <w:r>
              <w:rPr>
                <w:sz w:val="17"/>
              </w:rPr>
              <w:t xml:space="preserve">54.55</w:t>
            </w:r>
          </w:p>
        </w:tc>
        <w:tc>
          <w:tcPr/>
          <w:p>
            <w:pPr>
              <w:pStyle w:val="Compact"/>
              <w:jc w:val="right"/>
            </w:pPr>
            <w:r>
              <w:rPr>
                <w:sz w:val="17"/>
              </w:rPr>
              <w:t xml:space="preserve">0.02439</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nurse</w:t>
            </w:r>
          </w:p>
        </w:tc>
        <w:tc>
          <w:tcPr/>
          <w:p>
            <w:pPr>
              <w:pStyle w:val="Compact"/>
              <w:jc w:val="right"/>
            </w:pPr>
            <w:r>
              <w:rPr>
                <w:sz w:val="17"/>
              </w:rPr>
              <w:t xml:space="preserve">12</w:t>
            </w:r>
          </w:p>
        </w:tc>
        <w:tc>
          <w:tcPr/>
          <w:p>
            <w:pPr>
              <w:pStyle w:val="Compact"/>
              <w:jc w:val="right"/>
            </w:pPr>
            <w:r>
              <w:rPr>
                <w:sz w:val="17"/>
              </w:rPr>
              <w:t xml:space="preserve">12</w:t>
            </w:r>
          </w:p>
        </w:tc>
        <w:tc>
          <w:tcPr/>
          <w:p>
            <w:pPr>
              <w:pStyle w:val="Compact"/>
              <w:jc w:val="right"/>
            </w:pPr>
            <w:r>
              <w:rPr>
                <w:sz w:val="17"/>
              </w:rPr>
              <w:t xml:space="preserve">163.42</w:t>
            </w:r>
          </w:p>
        </w:tc>
        <w:tc>
          <w:tcPr/>
          <w:p>
            <w:pPr>
              <w:pStyle w:val="Compact"/>
              <w:jc w:val="right"/>
            </w:pPr>
            <w:r>
              <w:rPr>
                <w:sz w:val="17"/>
              </w:rPr>
              <w:t xml:space="preserve">0.07692</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device</w:t>
            </w:r>
          </w:p>
        </w:tc>
        <w:tc>
          <w:tcPr/>
          <w:p>
            <w:pPr>
              <w:pStyle w:val="Compact"/>
              <w:jc w:val="right"/>
            </w:pPr>
            <w:r>
              <w:rPr>
                <w:sz w:val="17"/>
              </w:rPr>
              <w:t xml:space="preserve">11</w:t>
            </w:r>
          </w:p>
        </w:tc>
        <w:tc>
          <w:tcPr/>
          <w:p>
            <w:pPr>
              <w:pStyle w:val="Compact"/>
              <w:jc w:val="right"/>
            </w:pPr>
            <w:r>
              <w:rPr>
                <w:sz w:val="17"/>
              </w:rPr>
              <w:t xml:space="preserve">11</w:t>
            </w:r>
          </w:p>
        </w:tc>
        <w:tc>
          <w:tcPr/>
          <w:p>
            <w:pPr>
              <w:pStyle w:val="Compact"/>
              <w:jc w:val="right"/>
            </w:pPr>
            <w:r>
              <w:rPr>
                <w:sz w:val="17"/>
              </w:rPr>
              <w:t xml:space="preserve">198.46</w:t>
            </w:r>
          </w:p>
        </w:tc>
        <w:tc>
          <w:tcPr/>
          <w:p>
            <w:pPr>
              <w:pStyle w:val="Compact"/>
              <w:jc w:val="right"/>
            </w:pPr>
            <w:r>
              <w:rPr>
                <w:sz w:val="17"/>
              </w:rPr>
              <w:t xml:space="preserve">0.08333</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Fig. 2 places every grouping on the feasibility frontier, together with the joins</w:t>
      </w:r>
      <w:r>
        <w:t xml:space="preserve"> </w:t>
      </w:r>
      <w:r>
        <w:t xml:space="preserve">discussed below and the MIT-BIH record partition.</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50" name="Picture"/>
            <a:graphic>
              <a:graphicData uri="http://schemas.openxmlformats.org/drawingml/2006/picture">
                <pic:pic>
                  <pic:nvPicPr>
                    <pic:cNvPr descr="figures/fig2_feasibility_frontier.png" id="51" name="Picture"/>
                    <pic:cNvPicPr>
                      <a:picLocks noChangeArrowheads="1" noChangeAspect="1"/>
                    </pic:cNvPicPr>
                  </pic:nvPicPr>
                  <pic:blipFill>
                    <a:blip r:embed="rId49"/>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t xml:space="preserve">The feasibility of</w:t>
      </w:r>
      <w:r>
        <w:t xml:space="preserve"> </w:t>
      </w:r>
      <w:r>
        <w:rPr>
          <w:rStyle w:val="VerbatimChar"/>
        </w:rPr>
        <w:t xml:space="preserve">site</w:t>
      </w:r>
      <w:r>
        <w:t xml:space="preserve"> </w:t>
      </w:r>
      <w:r>
        <w:t xml:space="preserve">at</w:t>
      </w:r>
      <w:r>
        <w:t xml:space="preserve"> </w:t>
      </w:r>
      <m:oMath>
        <m:r>
          <m:t>α</m:t>
        </m:r>
        <m:r>
          <m:rPr>
            <m:sty m:val="p"/>
          </m:rPr>
          <m:t>=</m:t>
        </m:r>
        <m:r>
          <m:t>0.05</m:t>
        </m:r>
      </m:oMath>
      <w:r>
        <w:t xml:space="preserve"> </w:t>
      </w:r>
      <w:r>
        <w:t xml:space="preserve">requires qualification. Of the 40 sites</w:t>
      </w:r>
      <w:r>
        <w:t xml:space="preserve"> </w:t>
      </w:r>
      <w:r>
        <w:t xml:space="preserve">in fold 9, 37 occur only among the 223 records whose</w:t>
      </w:r>
      <w:r>
        <w:t xml:space="preserve"> </w:t>
      </w:r>
      <w:r>
        <w:rPr>
          <w:rStyle w:val="VerbatimChar"/>
        </w:rPr>
        <w:t xml:space="preserve">nurse</w:t>
      </w:r>
      <w:r>
        <w:t xml:space="preserve"> </w:t>
      </w:r>
      <w:r>
        <w:t xml:space="preserve">field is empty;</w:t>
      </w:r>
      <w:r>
        <w:t xml:space="preserve"> </w:t>
      </w:r>
      <w:r>
        <w:t xml:space="preserve">the 1,960 records with complete metadata come from 3 sites. The admissibility of</w:t>
      </w:r>
      <w:r>
        <w:t xml:space="preserve"> </w:t>
      </w:r>
      <w:r>
        <w:t xml:space="preserve">site-level blocking therefore rests on a metadata-incomplete minority that</w:t>
      </w:r>
      <w:r>
        <w:t xml:space="preserve"> </w:t>
      </w:r>
      <w:r>
        <w:t xml:space="preserve">appears to reflect a different collection regime.</w:t>
      </w:r>
    </w:p>
    <w:p>
      <w:pPr>
        <w:pStyle w:val="BodyText"/>
        <w:jc w:val="both"/>
      </w:pPr>
      <w:r>
        <w:rPr>
          <w:b/>
          <w:bCs/>
        </w:rPr>
        <w:t xml:space="preserve">Crossed sources.</w:t>
      </w:r>
      <w:r>
        <w:t xml:space="preserve"> </w:t>
      </w:r>
      <w:r>
        <w:t xml:space="preserve">Dependence sources in PTB-XL are crossed rather than nested:</w:t>
      </w:r>
      <w:r>
        <w:t xml:space="preserve"> </w:t>
      </w:r>
      <w:r>
        <w:t xml:space="preserve">46 patients span more than one site, 247 more than one nurse, and 174 more than one</w:t>
      </w:r>
      <w:r>
        <w:t xml:space="preserve"> </w:t>
      </w:r>
      <w:r>
        <w:t xml:space="preserve">device. Controlling several sources jointly therefore requires their</w:t>
      </w:r>
      <w:r>
        <w:t xml:space="preserve"> </w:t>
      </w:r>
      <w:r>
        <w:rPr>
          <w:i/>
          <w:iCs/>
        </w:rPr>
        <w:t xml:space="preserve">join</w:t>
      </w:r>
      <w:r>
        <w:t xml:space="preserve"> </w:t>
      </w:r>
      <w:r>
        <w:t xml:space="preserve">(connected components), which coarsens rapidly. On all 2,183 records, controlling</w:t>
      </w:r>
      <w:r>
        <w:t xml:space="preserve"> </w:t>
      </w:r>
      <w:r>
        <w:t xml:space="preserve">patient and device leaves</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controlling all four</w:t>
      </w:r>
      <w:r>
        <w:t xml:space="preserve"> </w:t>
      </w:r>
      <w:r>
        <w:t xml:space="preserve">sources leaves a single block (</w:t>
      </w:r>
      <m:oMath>
        <m:sSub>
          <m:e>
            <m:r>
              <m:t>α</m:t>
            </m:r>
          </m:e>
          <m:sub>
            <m:r>
              <m:rPr>
                <m:sty m:val="p"/>
              </m:rPr>
              <m:t>min</m:t>
            </m:r>
          </m:sub>
        </m:sSub>
        <m:r>
          <m:rPr>
            <m:sty m:val="p"/>
          </m:rPr>
          <m:t>=</m:t>
        </m:r>
        <m:r>
          <m:t>0.5</m:t>
        </m:r>
      </m:oMath>
      <w:r>
        <w:t xml:space="preserve">). Restricting to the 1,960</w:t>
      </w:r>
      <w:r>
        <w:t xml:space="preserve"> </w:t>
      </w:r>
      <w:r>
        <w:t xml:space="preserve">records with complete metadata and enumerating all 15 joins of the four declared</w:t>
      </w:r>
      <w:r>
        <w:t xml:space="preserve"> </w:t>
      </w:r>
      <w:r>
        <w:t xml:space="preserve">sources, 8 satisfy sufficiency (every source nested within the grouping), and all</w:t>
      </w:r>
      <w:r>
        <w:t xml:space="preserve"> </w:t>
      </w:r>
      <w:r>
        <w:t xml:space="preserve">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 dependence</w:t>
      </w:r>
      <w:r>
        <w:rPr>
          <w:i/>
          <w:iCs/>
        </w:rPr>
        <w:t xml:space="preserve"> </w:t>
      </w:r>
      <w:r>
        <w:rPr>
          <w:i/>
          <w:iCs/>
        </w:rPr>
        <w:t xml:space="preserve">sources, no admissible calibration grouping exists at any conventional</w:t>
      </w:r>
      <w:r>
        <w:rPr>
          <w:i/>
          <w:iCs/>
        </w:rPr>
        <w:t xml:space="preserve"> </w:t>
      </w:r>
      <m:oMath>
        <m:r>
          <m:t>α</m:t>
        </m:r>
      </m:oMath>
      <w:r>
        <w:rPr>
          <w:i/>
          <w:iCs/>
        </w:rPr>
        <w:t xml:space="preserve">.</w:t>
      </w:r>
      <w:r>
        <w:t xml:space="preserve"> </w:t>
      </w:r>
      <w:r>
        <w:t xml:space="preserve">The conclusion is conditional on that declaration, which cannot be verified from</w:t>
      </w:r>
      <w:r>
        <w:t xml:space="preserve"> </w:t>
      </w:r>
      <w:r>
        <w:t xml:space="preserve">data (§10.5); the collapse of joined partitions into a giant component is itself</w:t>
      </w:r>
      <w:r>
        <w:t xml:space="preserve"> </w:t>
      </w:r>
      <w:r>
        <w:t xml:space="preserve">known [36].</w:t>
      </w:r>
    </w:p>
    <w:p>
      <w:pPr>
        <w:pStyle w:val="BodyText"/>
        <w:jc w:val="both"/>
      </w:pPr>
      <w:r>
        <w:rPr>
          <w:b/>
          <w:bCs/>
        </w:rPr>
        <w:t xml:space="preserve">Labels.</w:t>
      </w:r>
      <w:r>
        <w:t xml:space="preserve"> </w:t>
      </w:r>
      <w:r>
        <w:t xml:space="preserve">The bound applies per label when coverage is required conditional on</w:t>
      </w:r>
      <w:r>
        <w:t xml:space="preserve"> </w:t>
      </w:r>
      <w:r>
        <w:t xml:space="preserve">a label (Proposition 3, a necessary condition). Table VI shows how the feasible</w:t>
      </w:r>
      <w:r>
        <w:t xml:space="preserve"> </w:t>
      </w:r>
      <w:r>
        <w:t xml:space="preserve">region shrinks as the PTB-XL hierarchy is refined. At the superclass level every</w:t>
      </w:r>
      <w:r>
        <w:t xml:space="preserve"> </w:t>
      </w:r>
      <w:r>
        <w:t xml:space="preserve">label is feasible. At the finest level, 24 of 44 SCP codes fail the necessary</w:t>
      </w:r>
      <w:r>
        <w:t xml:space="preserve"> </w:t>
      </w:r>
      <w:r>
        <w:t xml:space="preserve">condition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 calibration block. Under a</w:t>
      </w:r>
      <w:r>
        <w:t xml:space="preserve"> </w:t>
      </w:r>
      <w:r>
        <w:t xml:space="preserve">Bonferroni requirement across labels, 43 of 44 codes are infeasible at a</w:t>
      </w:r>
      <w:r>
        <w:t xml:space="preserve"> </w:t>
      </w:r>
      <w:r>
        <w:t xml:space="preserve">family-wise</w:t>
      </w:r>
      <w:r>
        <w:t xml:space="preserve"> </w:t>
      </w:r>
      <m:oMath>
        <m:r>
          <m:t>α</m:t>
        </m:r>
        <m:r>
          <m:rPr>
            <m:sty m:val="p"/>
          </m:rPr>
          <m:t>=</m:t>
        </m:r>
        <m:r>
          <m:t>0.05</m:t>
        </m:r>
      </m:oMath>
      <w:r>
        <w:t xml:space="preserve">. Monotonicity along the hierarchy held in all 23</w:t>
      </w:r>
      <w:r>
        <w:t xml:space="preserve"> </w:t>
      </w:r>
      <w:r>
        <w:t xml:space="preserve">parent–child pairs. The same boundary appears in MIT-BIH, where class Q occupies</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w:t>
      </w:r>
    </w:p>
    <w:p>
      <w:pPr>
        <w:pStyle w:val="BodyText"/>
        <w:keepNext/>
        <w:spacing w:before="160"/>
        <w:jc w:val="center"/>
      </w:pPr>
      <w:r/>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
        <w:rPr>
          <w:sz w:val="18"/>
        </w:rPr>
        <w:t>TABLE VI</w:t>
      </w:r>
      <w:r>
        <w:br/>
      </w:r>
      <w:r>
        <w:rPr>
          <w:sz w:val="16"/>
        </w:rPr>
        <w:t>LABELS FAILING THE NECESSARY CONDITION ,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pPr>
            <w:r>
              <w:rPr>
                <w:b/>
                <w:sz w:val="17"/>
              </w:rPr>
              <w:t xml:space="preserve">Level</w:t>
            </w:r>
          </w:p>
        </w:tc>
        <w:tc>
          <w:tcPr/>
          <w:p>
            <w:pPr>
              <w:pStyle w:val="Compact"/>
              <w:jc w:val="right"/>
            </w:pPr>
            <w:r>
              <w:rPr>
                <w:b/>
                <w:sz w:val="17"/>
              </w:rPr>
              <w:t xml:space="preserve">Labels</w:t>
            </w:r>
            <w:r>
              <w:rPr>
                <w:b/>
                <w:sz w:val="17"/>
              </w:rPr>
              <w:t xml:space="preserve"> </w:t>
            </w:r>
            <m:oMath>
              <m:r>
                <m:t>m</m:t>
              </m:r>
            </m:oMath>
          </w:p>
        </w:tc>
        <w:tc>
          <w:tcPr/>
          <w:p>
            <w:pPr>
              <w:pStyle w:val="Compac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jc w:val="right"/>
            </w:pPr>
            <w:r>
              <w:rPr>
                <w:b/>
                <w:sz w:val="17"/>
              </w:rPr>
              <w:t xml:space="preserve">Fail at 0.01</w:t>
            </w:r>
          </w:p>
        </w:tc>
        <w:tc>
          <w:tcPr/>
          <w:p>
            <w:pPr>
              <w:pStyle w:val="Compact"/>
              <w:jc w:val="right"/>
            </w:pPr>
            <w:r>
              <w:rPr>
                <w:b/>
                <w:sz w:val="17"/>
              </w:rPr>
              <w:t xml:space="preserve">Fail at 0.05</w:t>
            </w:r>
          </w:p>
        </w:tc>
        <w:tc>
          <w:tcPr/>
          <w:p>
            <w:pPr>
              <w:pStyle w:val="Compact"/>
              <w:jc w:val="right"/>
            </w:pPr>
            <w:r>
              <w:rPr>
                <w:b/>
                <w:sz w:val="17"/>
              </w:rPr>
              <w:t xml:space="preserve">Fail at 0.10</w:t>
            </w:r>
          </w:p>
        </w:tc>
        <w:tc>
          <w:tcPr/>
          <w:p>
            <w:pPr>
              <w:pStyle w:val="Compact"/>
              <w:jc w:val="right"/>
            </w:pPr>
            <w:r>
              <w:rPr>
                <w:b/>
                <w:sz w:val="17"/>
              </w:rPr>
              <w:t xml:space="preserve">Fail at 0.05 /</w:t>
            </w:r>
            <w:r>
              <w:rPr>
                <w:b/>
                <w:sz w:val="17"/>
              </w:rPr>
              <w:t xml:space="preserve"> </w:t>
            </w:r>
            <m:oMath>
              <m:r>
                <m:t>m</m:t>
              </m:r>
            </m:oMath>
          </w:p>
        </w:tc>
      </w:tr>
      <w:tr>
        <w:tc>
          <w:tcPr/>
          <w:p>
            <w:pPr>
              <w:pStyle w:val="Compact"/>
            </w:pPr>
            <w:r>
              <w:rPr>
                <w:sz w:val="17"/>
              </w:rPr>
              <w:t xml:space="preserve">Superclass</w:t>
            </w:r>
          </w:p>
        </w:tc>
        <w:tc>
          <w:tcPr/>
          <w:p>
            <w:pPr>
              <w:pStyle w:val="Compact"/>
              <w:jc w:val="right"/>
            </w:pPr>
            <w:r>
              <w:rPr>
                <w:sz w:val="17"/>
              </w:rPr>
              <w:t xml:space="preserve">5</w:t>
            </w:r>
          </w:p>
        </w:tc>
        <w:tc>
          <w:tcPr/>
          <w:p>
            <w:pPr>
              <w:pStyle w:val="Compact"/>
              <w:jc w:val="right"/>
            </w:pPr>
            <w:r>
              <w:rPr>
                <w:sz w:val="17"/>
              </w:rPr>
              <w:t xml:space="preserve">242–905</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r>
      <w:tr>
        <w:tc>
          <w:tcPr/>
          <w:p>
            <w:pPr>
              <w:pStyle w:val="Compact"/>
            </w:pPr>
            <w:r>
              <w:rPr>
                <w:sz w:val="17"/>
              </w:rPr>
              <w:t xml:space="preserve">Subclass</w:t>
            </w:r>
          </w:p>
        </w:tc>
        <w:tc>
          <w:tcPr/>
          <w:p>
            <w:pPr>
              <w:pStyle w:val="Compact"/>
              <w:jc w:val="right"/>
            </w:pPr>
            <w:r>
              <w:rPr>
                <w:sz w:val="17"/>
              </w:rPr>
              <w:t xml:space="preserve">23</w:t>
            </w:r>
          </w:p>
        </w:tc>
        <w:tc>
          <w:tcPr/>
          <w:p>
            <w:pPr>
              <w:pStyle w:val="Compact"/>
              <w:jc w:val="right"/>
            </w:pPr>
            <w:r>
              <w:rPr>
                <w:sz w:val="17"/>
              </w:rPr>
              <w:t xml:space="preserve">2–905</w:t>
            </w:r>
          </w:p>
        </w:tc>
        <w:tc>
          <w:tcPr/>
          <w:p>
            <w:pPr>
              <w:pStyle w:val="Compact"/>
              <w:jc w:val="right"/>
            </w:pPr>
            <w:r>
              <w:rPr>
                <w:sz w:val="17"/>
              </w:rPr>
              <w:t xml:space="preserve">15</w:t>
            </w:r>
          </w:p>
        </w:tc>
        <w:tc>
          <w:tcPr/>
          <w:p>
            <w:pPr>
              <w:pStyle w:val="Compact"/>
              <w:jc w:val="right"/>
            </w:pPr>
            <w:r>
              <w:rPr>
                <w:sz w:val="17"/>
              </w:rPr>
              <w:t xml:space="preserve">6</w:t>
            </w:r>
          </w:p>
        </w:tc>
        <w:tc>
          <w:tcPr/>
          <w:p>
            <w:pPr>
              <w:pStyle w:val="Compact"/>
              <w:jc w:val="right"/>
            </w:pPr>
            <w:r>
              <w:rPr>
                <w:sz w:val="17"/>
              </w:rPr>
              <w:t xml:space="preserve">4</w:t>
            </w:r>
          </w:p>
        </w:tc>
        <w:tc>
          <w:tcPr/>
          <w:p>
            <w:pPr>
              <w:pStyle w:val="Compac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53" name="Picture"/>
            <a:graphic>
              <a:graphicData uri="http://schemas.openxmlformats.org/drawingml/2006/picture">
                <pic:pic>
                  <pic:nvPicPr>
                    <pic:cNvPr descr="figures/fig3_label_feasibility.png" id="54" name="Picture"/>
                    <pic:cNvPicPr>
                      <a:picLocks noChangeArrowheads="1" noChangeAspect="1"/>
                    </pic:cNvPicPr>
                  </pic:nvPicPr>
                  <pic:blipFill>
                    <a:blip r:embed="rId52"/>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p>
      <w:pPr>
        <w:pStyle w:val="BodyText"/>
        <w:jc w:val="both"/>
      </w:pPr>
      <w:r>
        <w:t xml:space="preserve">None of §8.1 involves a trained model. These verdicts are exact, carry no</w:t>
      </w:r>
      <w:r>
        <w:t xml:space="preserve"> </w:t>
      </w:r>
      <w:r>
        <w:t xml:space="preserve">sampling error, and can be computed before a single patient is enrolled.</w:t>
      </w:r>
    </w:p>
    <w:bookmarkEnd w:id="55"/>
    <w:bookmarkStart w:id="59" w:name="coverage-under-block-dependence"/>
    <w:p>
      <w:pPr>
        <w:pStyle w:val="Heading2"/>
      </w:pPr>
      <w:r>
        <w:t xml:space="preserve">8.2 Coverage under block dependence</w:t>
      </w:r>
    </w:p>
    <w:p>
      <w:pPr>
        <w:pStyle w:val="FirstParagraph"/>
        <w:jc w:val="both"/>
      </w:pPr>
      <w:r>
        <w:t xml:space="preserve">Table VII and Fig. 4 report coverage and set size on MIT-BIH (beats within records, 22</w:t>
      </w:r>
      <w:r>
        <w:t xml:space="preserve"> </w:t>
      </w:r>
      <w:r>
        <w:t xml:space="preserve">evaluation records split 11/11, 200 record-level splits) and PTB-XL (records</w:t>
      </w:r>
      <w:r>
        <w:t xml:space="preserve"> </w:t>
      </w:r>
      <w:r>
        <w:t xml:space="preserve">within patients, fold 9 split at patient level, 200 splits), using the primary</w:t>
      </w:r>
      <w:r>
        <w:t xml:space="preserve"> </w:t>
      </w:r>
      <w:r>
        <w:t xml:space="preserve">backbones of the feasibility study.</w:t>
      </w:r>
    </w:p>
    <w:p>
      <w:pPr>
        <w:pStyle w:val="BodyText"/>
        <w:keepNext/>
        <w:spacing w:before="160"/>
        <w:jc w:val="center"/>
      </w:pPr>
      <w:r/>
      <w:r>
        <w:rPr>
          <w:sz w:val="18"/>
        </w:rPr>
        <w:t>TABLE VII</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pPr>
            <w:r>
              <w:rPr>
                <w:b/>
                <w:sz w:val="17"/>
              </w:rPr>
              <w:t xml:space="preserve">Dataset</w:t>
            </w:r>
          </w:p>
        </w:tc>
        <w:tc>
          <w:tcPr/>
          <w:p>
            <w:pPr>
              <w:pStyle w:val="Compact"/>
              <w:jc w:val="right"/>
            </w:pPr>
            <m:oMath>
              <m:r>
                <m:t>α</m:t>
              </m:r>
            </m:oMath>
          </w:p>
        </w:tc>
        <w:tc>
          <w:tcPr/>
          <w:p>
            <w:pPr>
              <w:pStyle w:val="Compact"/>
            </w:pPr>
            <w:r>
              <w:rPr>
                <w:b/>
                <w:sz w:val="17"/>
              </w:rPr>
              <w:t xml:space="preserve">B1 coverage</w:t>
            </w:r>
          </w:p>
        </w:tc>
        <w:tc>
          <w:tcPr/>
          <w:p>
            <w:pPr>
              <w:pStyle w:val="Compact"/>
              <w:jc w:val="right"/>
            </w:pPr>
            <w:r>
              <w:rPr>
                <w:b/>
                <w:sz w:val="17"/>
              </w:rPr>
              <w:t xml:space="preserve">B12 coverage</w:t>
            </w:r>
          </w:p>
        </w:tc>
        <w:tc>
          <w:tcPr/>
          <w:p>
            <w:pPr>
              <w:pStyle w:val="Compact"/>
              <w:jc w:val="right"/>
            </w:pPr>
            <m:oMath>
              <m:r>
                <m:rPr>
                  <m:sty m:val="p"/>
                </m:rPr>
                <m:t>|</m:t>
              </m:r>
              <m:r>
                <m:t>C</m:t>
              </m:r>
              <m:r>
                <m:rPr>
                  <m:sty m:val="p"/>
                </m:rPr>
                <m:t>|</m:t>
              </m:r>
            </m:oMath>
            <w:r>
              <w:rPr>
                <w:b/>
                <w:sz w:val="17"/>
              </w:rPr>
              <w:t xml:space="preserve"> </w:t>
            </w:r>
            <w:r>
              <w:rPr>
                <w:b/>
                <w:sz w:val="17"/>
              </w:rPr>
              <w:t xml:space="preserve">B1</w:t>
            </w:r>
          </w:p>
        </w:tc>
        <w:tc>
          <w:tcPr/>
          <w:p>
            <w:pPr>
              <w:pStyle w:val="Compact"/>
              <w:jc w:val="right"/>
            </w:pPr>
            <m:oMath>
              <m:r>
                <m:rPr>
                  <m:sty m:val="p"/>
                </m:rPr>
                <m:t>|</m:t>
              </m:r>
              <m:r>
                <m:t>C</m:t>
              </m:r>
              <m:r>
                <m:rPr>
                  <m:sty m:val="p"/>
                </m:rPr>
                <m:t>|</m:t>
              </m:r>
            </m:oMath>
            <w:r>
              <w:rPr>
                <w:b/>
                <w:sz w:val="17"/>
              </w:rPr>
              <w:t xml:space="preserve"> </w:t>
            </w:r>
            <w:r>
              <w:rPr>
                <w:b/>
                <w:sz w:val="17"/>
              </w:rPr>
              <w:t xml:space="preserve">B12</w:t>
            </w:r>
          </w:p>
        </w:tc>
      </w:tr>
      <w:t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Three observations follow. First, on MIT-BIH the mean coverage of B1 lies below</w:t>
      </w:r>
      <w:r>
        <w:t xml:space="preserve"> </w:t>
      </w:r>
      <m:oMath>
        <m:r>
          <m:t>1</m:t>
        </m:r>
        <m:r>
          <m:rPr>
            <m:sty m:val="p"/>
          </m:rPr>
          <m:t>−</m:t>
        </m:r>
        <m:r>
          <m:t>α</m:t>
        </m:r>
      </m:oMath>
      <w:r>
        <w:t xml:space="preserve"> </w:t>
      </w:r>
      <w:r>
        <w:t xml:space="preserve">at every level, by 1.0–2.4 percentage points, while on PTB-XL it lies</w:t>
      </w:r>
      <w:r>
        <w:t xml:space="preserve"> </w:t>
      </w:r>
      <w:r>
        <w:t xml:space="preserve">at or above nominal. Second, the split-to-split range on MIT-BIH is wide enough to</w:t>
      </w:r>
      <w:r>
        <w:t xml:space="preserve"> </w:t>
      </w:r>
      <w:r>
        <w:t xml:space="preserve">contain</w:t>
      </w:r>
      <w:r>
        <w:t xml:space="preserve"> </w:t>
      </w:r>
      <m:oMath>
        <m:r>
          <m:t>1</m:t>
        </m:r>
        <m:r>
          <m:rPr>
            <m:sty m:val="p"/>
          </m:rPr>
          <m:t>−</m:t>
        </m:r>
        <m:r>
          <m:t>α</m:t>
        </m:r>
      </m:oMath>
      <w:r>
        <w:t xml:space="preserve"> </w:t>
      </w:r>
      <w:r>
        <w:t xml:space="preserve">at every level; with 11 test records, no single split can</w:t>
      </w:r>
      <w:r>
        <w:t xml:space="preserve"> </w:t>
      </w:r>
      <w:r>
        <w:t xml:space="preserve">reveal a deficit of this size, and the comparison of means alone is not a test.</w:t>
      </w:r>
      <w:r>
        <w:t xml:space="preserve"> </w:t>
      </w:r>
      <w:r>
        <w:t xml:space="preserve">Third, B12 coverage must be read together with set size: at</w:t>
      </w:r>
      <w:r>
        <w:t xml:space="preserve"> </w:t>
      </w:r>
      <m:oMath>
        <m:r>
          <m:t>α</m:t>
        </m:r>
        <m:r>
          <m:rPr>
            <m:sty m:val="p"/>
          </m:rPr>
          <m:t>=</m:t>
        </m:r>
        <m:r>
          <m:t>0.10</m:t>
        </m:r>
      </m:oMath>
      <w:r>
        <w:t xml:space="preserve"> </w:t>
      </w:r>
      <w:r>
        <w:t xml:space="preserve">HCP</w:t>
      </w:r>
      <w:r>
        <w:t xml:space="preserve"> </w:t>
      </w:r>
      <w:r>
        <w:t xml:space="preserve">attains 0.9615 with 2.43 labels out of 5, against 1.05 for B1. Below</w:t>
      </w:r>
      <w:r>
        <w:t xml:space="preserve"> </w:t>
      </w:r>
      <m:oMath>
        <m:sSub>
          <m:e>
            <m:r>
              <m:t>α</m:t>
            </m:r>
          </m:e>
          <m:sub>
            <m:r>
              <m:rPr>
                <m:sty m:val="p"/>
              </m:rPr>
              <m:t>min</m:t>
            </m:r>
          </m:sub>
        </m:sSub>
      </m:oMath>
      <w:r>
        <w:t xml:space="preserve"> </w:t>
      </w:r>
      <w:r>
        <w:t xml:space="preserve">its</w:t>
      </w:r>
      <w:r>
        <w:t xml:space="preserve"> </w:t>
      </w:r>
      <w:r>
        <w:t xml:space="preserve">“perfect”</w:t>
      </w:r>
      <w:r>
        <w:t xml:space="preserve"> </w:t>
      </w:r>
      <w:r>
        <w:t xml:space="preserve">coverage is abstention.</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57" name="Picture"/>
            <a:graphic>
              <a:graphicData uri="http://schemas.openxmlformats.org/drawingml/2006/picture">
                <pic:pic>
                  <pic:nvPicPr>
                    <pic:cNvPr descr="figures/fig4_coverage.png" id="58" name="Picture"/>
                    <pic:cNvPicPr>
                      <a:picLocks noChangeArrowheads="1" noChangeAspect="1"/>
                    </pic:cNvPicPr>
                  </pic:nvPicPr>
                  <pic:blipFill>
                    <a:blip r:embed="rId56"/>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59"/>
    <w:bookmarkStart w:id="60" w:name="X971afb3920367740875daf59080031d77744c88"/>
    <w:p>
      <w:pPr>
        <w:pStyle w:val="Heading2"/>
      </w:pPr>
      <w:r>
        <w:t xml:space="preserve">8.3 The deficit is attributable to dependence</w:t>
      </w:r>
    </w:p>
    <w:p>
      <w:pPr>
        <w:pStyle w:val="FirstParagraph"/>
        <w:jc w:val="both"/>
      </w:pPr>
      <w:r>
        <w:rPr>
          <w:b/>
          <w:bCs/>
        </w:rPr>
        <w:t xml:space="preserve">Permutation null.</w:t>
      </w:r>
      <w:r>
        <w:t xml:space="preserve"> </w:t>
      </w:r>
      <w:r>
        <w:t xml:space="preserve">To test whether B1 under-covers</w:t>
      </w:r>
      <w:r>
        <w:t xml:space="preserve"> </w:t>
      </w:r>
      <w:r>
        <w:rPr>
          <w:i/>
          <w:iCs/>
        </w:rPr>
        <w:t xml:space="preserve">because of</w:t>
      </w:r>
      <w:r>
        <w:t xml:space="preserve"> </w:t>
      </w:r>
      <w:r>
        <w:t xml:space="preserve">dependence, we</w:t>
      </w:r>
      <w:r>
        <w:t xml:space="preserve"> </w:t>
      </w:r>
      <w:r>
        <w:t xml:space="preserve">compared it with a matched null: beat-to-record assignments in DS2 were permuted,</w:t>
      </w:r>
      <w:r>
        <w:t xml:space="preserve"> </w:t>
      </w:r>
      <w:r>
        <w:t xml:space="preserve">preserving</w:t>
      </w:r>
      <w:r>
        <w:t xml:space="preserve"> </w:t>
      </w:r>
      <m:oMath>
        <m:sSub>
          <m:e>
            <m:r>
              <m:t>K</m:t>
            </m:r>
          </m:e>
          <m:sub>
            <m:r>
              <m:t>1</m:t>
            </m:r>
          </m:sub>
        </m:sSub>
        <m:r>
          <m:rPr>
            <m:sty m:val="p"/>
          </m:rPr>
          <m:t>=</m:t>
        </m:r>
        <m:r>
          <m:t>11</m:t>
        </m:r>
      </m:oMath>
      <w:r>
        <w:t xml:space="preserve">, the multiset of block sizes, and the marginal score</w:t>
      </w:r>
      <w:r>
        <w:t xml:space="preserve"> </w:t>
      </w:r>
      <w:r>
        <w:t xml:space="preserve">distribution exactly, while reducing the score ICC from 0.519 to 0.000. The B1</w:t>
      </w:r>
      <w:r>
        <w:t xml:space="preserve"> </w:t>
      </w:r>
      <w:r>
        <w:t xml:space="preserve">deficit relative to this null is positive at all three feasible levels and</w:t>
      </w:r>
      <w:r>
        <w:t xml:space="preserve"> </w:t>
      </w:r>
      <w:r>
        <w:t xml:space="preserve">significant at each after Holm correction across levels (Table VIII, first row;</w:t>
      </w:r>
      <w:r>
        <w:t xml:space="preserve"> </w:t>
      </w:r>
      <w:r>
        <w:t xml:space="preserve">adjusted one-sided</w:t>
      </w:r>
      <w:r>
        <w:t xml:space="preserve"> </w:t>
      </w:r>
      <m:oMath>
        <m:r>
          <m:t>p</m:t>
        </m:r>
        <m:r>
          <m:rPr>
            <m:sty m:val="p"/>
          </m:rPr>
          <m:t>≤</m:t>
        </m:r>
        <m:r>
          <m:t>0.0075</m:t>
        </m:r>
      </m:oMath>
      <w:r>
        <w:t xml:space="preserve">).</w:t>
      </w:r>
    </w:p>
    <w:p>
      <w:pPr>
        <w:pStyle w:val="BodyText"/>
        <w:keepNext/>
        <w:spacing w:before="160"/>
        <w:jc w:val="center"/>
      </w:pPr>
      <w:r/>
      <w:r>
        <w:rPr>
          <w:sz w:val="18"/>
        </w:rPr>
        <w:t>TABLE VIII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pPr>
            <w:r>
              <w:rPr>
                <w:b/>
                <w:sz w:val="17"/>
              </w:rPr>
              <w:t xml:space="preserve">Backbone</w:t>
            </w:r>
          </w:p>
        </w:tc>
        <w:tc>
          <w:tcPr/>
          <w:p>
            <w:pPr>
              <w:pStyle w:val="Compact"/>
              <w:jc w:val="right"/>
            </w:pPr>
            <w:r>
              <w:rPr>
                <w:b/>
                <w:sz w:val="17"/>
              </w:rPr>
              <w:t xml:space="preserve">Score ICC</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c>
          <w:tcPr/>
          <w:p>
            <w:pPr>
              <w:pStyle w:val="Compact"/>
              <w:jc w:val="center"/>
            </w:pPr>
            <w:r>
              <w:rPr>
                <w:b/>
                <w:sz w:val="17"/>
              </w:rPr>
              <w:t xml:space="preserve">CI</w:t>
            </w:r>
          </w:p>
        </w:tc>
        <w:tc>
          <w:tcPr/>
          <w:p>
            <w:pPr>
              <w:pStyle w:val="Compact"/>
              <w:jc w:val="center"/>
            </w:pPr>
            <w:r>
              <w:rPr>
                <w:b/>
                <w:sz w:val="17"/>
              </w:rPr>
              <w:t xml:space="preserve">Holm</w:t>
            </w:r>
          </w:p>
        </w:tc>
      </w:tr>
      <w:tr>
        <w:tc>
          <w:tcPr/>
          <w:p>
            <w:pPr>
              <w:pStyle w:val="Compact"/>
            </w:pPr>
            <w:r>
              <w:rPr>
                <w:sz w:val="17"/>
              </w:rPr>
              <w:t xml:space="preserve">SmallECGNet</w:t>
            </w:r>
          </w:p>
        </w:tc>
        <w:tc>
          <w:tcPr/>
          <w:p>
            <w:pPr>
              <w:pStyle w:val="Compact"/>
              <w:jc w:val="right"/>
            </w:pPr>
            <w:r>
              <w:rPr>
                <w:sz w:val="17"/>
              </w:rPr>
              <w:t xml:space="preserve">0.519</w:t>
            </w:r>
          </w:p>
        </w:tc>
        <w:tc>
          <w:tcPr/>
          <w:p>
            <w:pPr>
              <w:pStyle w:val="Compact"/>
            </w:pPr>
            <w:r>
              <w:rPr>
                <w:sz w:val="17"/>
              </w:rPr>
              <w:t xml:space="preserve">+1.49 [0.34, 2.71]</w:t>
            </w:r>
          </w:p>
        </w:tc>
        <w:tc>
          <w:tcPr/>
          <w:p>
            <w:pPr>
              <w:pStyle w:val="Compact"/>
            </w:pPr>
            <w:r>
              <w:rPr>
                <w:sz w:val="17"/>
              </w:rPr>
              <w:t xml:space="preserve">+2.21 [0.85, 3.60]</w:t>
            </w:r>
          </w:p>
        </w:tc>
        <w:tc>
          <w:tcPr/>
          <w:p>
            <w:pPr>
              <w:pStyle w:val="Compact"/>
            </w:pPr>
            <w:r>
              <w:rPr>
                <w:sz w:val="17"/>
              </w:rPr>
              <w:t xml:space="preserve">+2.37 [0.79, 3.93]</w:t>
            </w:r>
          </w:p>
        </w:tc>
        <w:tc>
          <w:tcPr/>
          <w:p>
            <w:pPr>
              <w:pStyle w:val="Compact"/>
              <w:jc w:val="center"/>
            </w:pPr>
            <w:r>
              <w:rPr>
                <w:sz w:val="17"/>
              </w:rPr>
              <w:t xml:space="preserve">3/3</w:t>
            </w:r>
          </w:p>
        </w:tc>
        <w:tc>
          <w:tcPr/>
          <w:p>
            <w:pPr>
              <w:pStyle w:val="Compact"/>
              <w:jc w:val="center"/>
            </w:pPr>
            <w:r>
              <w:rPr>
                <w:sz w:val="17"/>
              </w:rPr>
              <w:t xml:space="preserve">3/3</w:t>
            </w:r>
          </w:p>
        </w:tc>
      </w:tr>
      <w:tr>
        <w:tc>
          <w:tcPr/>
          <w:p>
            <w:pPr>
              <w:pStyle w:val="Compact"/>
            </w:pPr>
            <w:r>
              <w:rPr>
                <w:sz w:val="17"/>
              </w:rPr>
              <w:t xml:space="preserve">ResNet1D-34</w:t>
            </w:r>
          </w:p>
        </w:tc>
        <w:tc>
          <w:tcPr/>
          <w:p>
            <w:pPr>
              <w:pStyle w:val="Compact"/>
              <w:jc w:val="right"/>
            </w:pPr>
            <w:r>
              <w:rPr>
                <w:sz w:val="17"/>
              </w:rPr>
              <w:t xml:space="preserve">0.436</w:t>
            </w:r>
          </w:p>
        </w:tc>
        <w:tc>
          <w:tcPr/>
          <w:p>
            <w:pPr>
              <w:pStyle w:val="Compact"/>
            </w:pPr>
            <w:r>
              <w:rPr>
                <w:sz w:val="17"/>
              </w:rPr>
              <w:t xml:space="preserve">+1.15 [0.10, 2.23]</w:t>
            </w:r>
          </w:p>
        </w:tc>
        <w:tc>
          <w:tcPr/>
          <w:p>
            <w:pPr>
              <w:pStyle w:val="Compact"/>
            </w:pPr>
            <w:r>
              <w:rPr>
                <w:sz w:val="17"/>
              </w:rPr>
              <w:t xml:space="preserve">+1.02 [−0.16, 2.23]</w:t>
            </w:r>
          </w:p>
        </w:tc>
        <w:tc>
          <w:tcPr/>
          <w:p>
            <w:pPr>
              <w:pStyle w:val="Compact"/>
            </w:pPr>
            <w:r>
              <w:rPr>
                <w:sz w:val="17"/>
              </w:rPr>
              <w:t xml:space="preserve">+0.81 [−0.59, 2.17]</w:t>
            </w:r>
          </w:p>
        </w:tc>
        <w:tc>
          <w:tcPr/>
          <w:p>
            <w:pPr>
              <w:pStyle w:val="Compact"/>
              <w:jc w:val="center"/>
            </w:pPr>
            <w:r>
              <w:rPr>
                <w:sz w:val="17"/>
              </w:rPr>
              <w:t xml:space="preserve">1/3</w:t>
            </w:r>
          </w:p>
        </w:tc>
        <w:tc>
          <w:tcPr/>
          <w:p>
            <w:pPr>
              <w:pStyle w:val="Compac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the comparison of B12 with B1 is not informative.</w:t>
      </w:r>
      <w:r>
        <w:t xml:space="preserve"> </w:t>
      </w:r>
      <w:r>
        <w:t xml:space="preserve">Under permutation, where no dependence remains, the B12−B1 gap persists at</w:t>
      </w:r>
      <w:r>
        <w:t xml:space="preserve"> </w:t>
      </w:r>
      <w:r>
        <w:t xml:space="preserve">81–107% of its original size: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(§10.4) and rely on the deficit against the</w:t>
      </w:r>
      <w:r>
        <w:t xml:space="preserve"> </w:t>
      </w:r>
      <w:r>
        <w:t xml:space="preserve">permutation null throughout.</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randomised record membership) with block-size balance (balanced vs. imbalanced),</w:t>
      </w:r>
      <w:r>
        <w:t xml:space="preserve"> </w:t>
      </w:r>
      <w:r>
        <w:t xml:space="preserve">at fixed calibration size. Clustering reduced coverage by 1.22, 1.55 and 1.49 pp 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The imbalance effect (−0.44, −0.26, −0.27 pp)</w:t>
      </w:r>
      <w:r>
        <w:t xml:space="preserve"> </w:t>
      </w:r>
      <w:r>
        <w:t xml:space="preserve">and the interaction were not significant at any level. Block-size imbalance, a</w:t>
      </w:r>
      <w:r>
        <w:t xml:space="preserve"> </w:t>
      </w:r>
      <w:r>
        <w:t xml:space="preserve">plausible alternative explanation, does not account for the deficit.</w:t>
      </w:r>
    </w:p>
    <w:bookmarkEnd w:id="60"/>
    <w:bookmarkStart w:id="64" w:name="the-deficit-tracks-the-design-effect"/>
    <w:p>
      <w:pPr>
        <w:pStyle w:val="Heading2"/>
      </w:pPr>
      <w:r>
        <w:t xml:space="preserve">8.4 The deficit tracks the design effect</w:t>
      </w:r>
    </w:p>
    <w:p>
      <w:pPr>
        <w:pStyle w:val="FirstParagraph"/>
        <w:jc w:val="both"/>
      </w:pPr>
      <w:r>
        <w:t xml:space="preserve">To vary dependence within a single dataset, a fraction</w:t>
      </w:r>
      <w:r>
        <w:t xml:space="preserve"> </w:t>
      </w:r>
      <m:oMath>
        <m:r>
          <m:t>p</m:t>
        </m:r>
      </m:oMath>
      <w:r>
        <w:t xml:space="preserve"> </w:t>
      </w:r>
      <w:r>
        <w:t xml:space="preserve">of MIT-BIH beats was</w:t>
      </w:r>
      <w:r>
        <w:t xml:space="preserve"> </w:t>
      </w:r>
      <w:r>
        <w:t xml:space="preserve">reassigned to random records, with blocks held at a uniform size of 1,355 beats so</w:t>
      </w:r>
      <w:r>
        <w:t xml:space="preserve"> </w:t>
      </w:r>
      <w:r>
        <w:t xml:space="preserve">that imbalance plays no role (11 values of</w:t>
      </w:r>
      <w:r>
        <w:t xml:space="preserve"> </w:t>
      </w:r>
      <m:oMath>
        <m:r>
          <m:t>p</m:t>
        </m:r>
      </m:oMath>
      <w:r>
        <w:t xml:space="preserve">, 300 splits each). The score ICC</w:t>
      </w:r>
      <w:r>
        <w:t xml:space="preserve"> </w:t>
      </w:r>
      <w:r>
        <w:t xml:space="preserve">falls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 blocks are uniform and</w:t>
      </w:r>
      <w:r>
        <w:t xml:space="preserve"> </w:t>
      </w:r>
      <w:r>
        <w:t xml:space="preserve">calibration is subsampled, deficits in this design are smaller than in §8.3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w:t>
      </w:r>
    </w:p>
    <w:p>
      <w:pPr>
        <w:pStyle w:val="BodyText"/>
        <w:jc w:val="both"/>
      </w:pPr>
      <w:r>
        <w:t xml:space="preserve">Per point, every interval contains zero; the evidence lies in the trend, which is</w:t>
      </w:r>
      <w:r>
        <w:t xml:space="preserve"> </w:t>
      </w:r>
      <w:r>
        <w:t xml:space="preserve">what the pre-registered Spearman criterion tests (Table IX). Within MIT-BIH,</w:t>
      </w:r>
      <w:r>
        <w:t xml:space="preserve"> </w:t>
      </w:r>
      <w:r>
        <w:t xml:space="preserve">deficit increases with ICC at all three levels. Adding PTB-XL as a twelfth point</w:t>
      </w:r>
      <w:r>
        <w:t xml:space="preserve"> </w:t>
      </w:r>
      <w:r>
        <w:t xml:space="preserve">requires a common axis. ICC does not provide one: PTB-XL has a patient-level ICC</w:t>
      </w:r>
      <w:r>
        <w:t xml:space="preserve"> </w:t>
      </w:r>
      <w:r>
        <w:t xml:space="preserve">of 0.352, comparable to a MIT-BIH point with a deficit of 0.35 pp, yet shows no</w:t>
      </w:r>
      <w:r>
        <w:t xml:space="preserve"> </w:t>
      </w:r>
      <w:r>
        <w:t xml:space="preserve">deficit.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with</w:t>
      </w:r>
      <w:r>
        <w:t xml:space="preserve"> </w:t>
      </w:r>
      <m:oMath>
        <m:r>
          <m:t>H</m:t>
        </m:r>
      </m:oMath>
      <w:r>
        <w:t xml:space="preserve"> </w:t>
      </w:r>
      <w:r>
        <w:t xml:space="preserve">the harmonic</w:t>
      </w:r>
      <w:r>
        <w:t xml:space="preserve"> </w:t>
      </w:r>
      <w:r>
        <w:t xml:space="preserve">mean block size, does:</w:t>
      </w:r>
      <w:r>
        <w:t xml:space="preserve"> </w:t>
      </w:r>
      <m:oMath>
        <m:r>
          <m:t>H</m:t>
        </m:r>
        <m:r>
          <m:rPr>
            <m:sty m:val="p"/>
          </m:rPr>
          <m:t>=</m:t>
        </m:r>
        <m:r>
          <m:t>1.05</m:t>
        </m:r>
      </m:oMath>
      <w:r>
        <w:t xml:space="preserve"> </w:t>
      </w:r>
      <w:r>
        <w:t xml:space="preserve">gives PTB-XL a DEff of 1.02, against 704 for</w:t>
      </w:r>
      <w:r>
        <w:t xml:space="preserve"> </w:t>
      </w:r>
      <w:r>
        <w:t xml:space="preserve">intact MIT-BIH. We use DEff as a summary axis, not as a sufficient statistic;</w:t>
      </w:r>
      <w:r>
        <w:t xml:space="preserve"> </w:t>
      </w:r>
      <w:r>
        <w:t xml:space="preserve">see [35] for an exceedance-specific design effect. On this axis the combined</w:t>
      </w:r>
      <w:r>
        <w:t xml:space="preserve"> </w:t>
      </w:r>
      <w:r>
        <w:t xml:space="preserve">correlation remains positive and significant (Fig. 5). Because the correlation in (6)</w:t>
      </w:r>
      <w:r>
        <w:t xml:space="preserve"> </w:t>
      </w:r>
      <w:r>
        <w:t xml:space="preserve">concerns the coverage</w:t>
      </w:r>
      <w:r>
        <w:t xml:space="preserve"> </w:t>
      </w:r>
      <w:r>
        <w:rPr>
          <w:i/>
          <w:iCs/>
        </w:rPr>
        <w:t xml:space="preserve">indicator</w:t>
      </w:r>
      <w:r>
        <w:t xml:space="preserve"> </w:t>
      </w:r>
      <w:r>
        <w:t xml:space="preserve">rather than raw scores, we recomputed the curve</w:t>
      </w:r>
      <w:r>
        <w:t xml:space="preserve"> </w:t>
      </w:r>
      <w:r>
        <w:t xml:space="preserve">with the indicator ICC at a fixed threshold; the conclusion is unchanged.</w:t>
      </w:r>
    </w:p>
    <w:p>
      <w:pPr>
        <w:pStyle w:val="BodyText"/>
        <w:keepNext/>
        <w:spacing w:before="160"/>
        <w:jc w:val="center"/>
      </w:pPr>
      <w:r/>
      <w:r>
        <w:rPr>
          <w:sz w:val="18"/>
        </w:rPr>
        <w:t>TABLE IX</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pPr>
            <w:r>
              <w:rPr>
                <w:b/>
                <w:sz w:val="17"/>
              </w:rPr>
              <w:t xml:space="preserve">Axis</w:t>
            </w:r>
          </w:p>
        </w:tc>
        <w:tc>
          <w:tcPr/>
          <w:p>
            <w:pPr>
              <w:pStyle w:val="Compact"/>
              <w:jc w:val="right"/>
            </w:pPr>
            <w:r>
              <w:rPr>
                <w:b/>
                <w:sz w:val="17"/>
              </w:rPr>
              <w:t xml:space="preserve">Points</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r>
      <w:tr>
        <w:tc>
          <w:tcPr/>
          <w:p>
            <w:pPr>
              <w:pStyle w:val="Compact"/>
            </w:pPr>
            <w:r>
              <w:rPr>
                <w:sz w:val="17"/>
              </w:rPr>
              <w:t xml:space="preserve">Score ICC, MIT-BIH only</w:t>
            </w:r>
          </w:p>
        </w:tc>
        <w:tc>
          <w:tcPr/>
          <w:p>
            <w:pPr>
              <w:pStyle w:val="Compact"/>
              <w:jc w:val="right"/>
            </w:pPr>
            <w:r>
              <w:rPr>
                <w:sz w:val="17"/>
              </w:rPr>
              <w:t xml:space="preserve">11</w:t>
            </w:r>
          </w:p>
        </w:tc>
        <w:tc>
          <w:tcPr/>
          <w:p>
            <w:pPr>
              <w:pStyle w:val="Compact"/>
            </w:pPr>
            <w:r>
              <w:rPr>
                <w:sz w:val="17"/>
              </w:rPr>
              <w:t xml:space="preserve">0.88 (</w:t>
            </w:r>
            <m:oMath>
              <m:r>
                <m:t>p</m:t>
              </m:r>
              <m:r>
                <m:rPr>
                  <m:sty m:val="p"/>
                </m:rPr>
                <m:t>=</m:t>
              </m:r>
              <m:r>
                <m:t>0.0003</m:t>
              </m:r>
            </m:oMath>
            <w:r>
              <w:rPr>
                <w:sz w:val="17"/>
              </w:rPr>
              <w:t xml:space="preserve">)</w:t>
            </w:r>
          </w:p>
        </w:tc>
        <w:tc>
          <w:tcPr/>
          <w:p>
            <w:pPr>
              <w:pStyle w:val="Compact"/>
            </w:pPr>
            <w:r>
              <w:rPr>
                <w:sz w:val="17"/>
              </w:rPr>
              <w:t xml:space="preserve">0.78 (</w:t>
            </w:r>
            <m:oMath>
              <m:r>
                <m:t>p</m:t>
              </m:r>
              <m:r>
                <m:rPr>
                  <m:sty m:val="p"/>
                </m:rPr>
                <m:t>=</m:t>
              </m:r>
              <m:r>
                <m:t>0.0045</m:t>
              </m:r>
            </m:oMath>
            <w:r>
              <w:rPr>
                <w:sz w:val="17"/>
              </w:rPr>
              <w:t xml:space="preserve">)</w:t>
            </w:r>
          </w:p>
        </w:tc>
        <w:tc>
          <w:tcPr/>
          <w:p>
            <w:pPr>
              <w:pStyle w:val="Compact"/>
            </w:pPr>
            <w:r>
              <w:rPr>
                <w:sz w:val="17"/>
              </w:rPr>
              <w:t xml:space="preserve">0.80 (</w:t>
            </w:r>
            <m:oMath>
              <m:r>
                <m:t>p</m:t>
              </m:r>
              <m:r>
                <m:rPr>
                  <m:sty m:val="p"/>
                </m:rPr>
                <m:t>=</m:t>
              </m:r>
              <m:r>
                <m:t>0.0031</m:t>
              </m:r>
            </m:oMath>
            <w:r>
              <w:rPr>
                <w:sz w:val="17"/>
              </w:rPr>
              <w:t xml:space="preserve">)</w:t>
            </w:r>
          </w:p>
        </w:tc>
      </w:tr>
      <w:tr>
        <w:tc>
          <w:tcPr/>
          <w:p>
            <w:pPr>
              <w:pStyle w:val="Compact"/>
            </w:pPr>
            <w:r>
              <w:rPr>
                <w:sz w:val="17"/>
              </w:rPr>
              <w:t xml:space="preserve">DEff, MIT-BIH + PTB-XL</w:t>
            </w:r>
          </w:p>
        </w:tc>
        <w:tc>
          <w:tcPr/>
          <w:p>
            <w:pPr>
              <w:pStyle w:val="Compact"/>
              <w:jc w:val="right"/>
            </w:pPr>
            <w:r>
              <w:rPr>
                <w:sz w:val="17"/>
              </w:rPr>
              <w:t xml:space="preserve">12</w:t>
            </w:r>
          </w:p>
        </w:tc>
        <w:tc>
          <w:tcPr/>
          <w:p>
            <w:pPr>
              <w:pStyle w:val="Compact"/>
            </w:pPr>
            <w:r>
              <w:rPr>
                <w:sz w:val="17"/>
              </w:rPr>
              <w:t xml:space="preserve">0.84 (</w:t>
            </w:r>
            <m:oMath>
              <m:r>
                <m:t>p</m:t>
              </m:r>
              <m:r>
                <m:rPr>
                  <m:sty m:val="p"/>
                </m:rPr>
                <m:t>=</m:t>
              </m:r>
              <m:r>
                <m:t>0.0006</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The combined correlation is driven by the internal MIT-BIH gradient; PTB-XL serves</w:t>
      </w:r>
      <w:r>
        <w:t xml:space="preserve"> </w:t>
      </w:r>
      <w:r>
        <w:t xml:space="preserve">as a prediction check at the low-dependence end, not as an independent trend</w:t>
      </w:r>
      <w:r>
        <w:t xml:space="preserve"> </w:t>
      </w:r>
      <w:r>
        <w:t xml:space="preserve">(§10.3). PTB-XL’s deficits on this protocol are −0.05, −0.12 and −0.16 pp, i.e.</w:t>
      </w:r>
      <w:r>
        <w:t xml:space="preserve"> </w:t>
      </w:r>
      <w:r>
        <w:t xml:space="preserve">slight over-coverage, with every interval containing 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62" name="Picture"/>
            <a:graphic>
              <a:graphicData uri="http://schemas.openxmlformats.org/drawingml/2006/picture">
                <pic:pic>
                  <pic:nvPicPr>
                    <pic:cNvPr descr="figures/fig5_dose_response.png" id="63" name="Picture"/>
                    <pic:cNvPicPr>
                      <a:picLocks noChangeArrowheads="1" noChangeAspect="1"/>
                    </pic:cNvPicPr>
                  </pic:nvPicPr>
                  <pic:blipFill>
                    <a:blip r:embed="rId61"/>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64"/>
    <w:bookmarkStart w:id="68" w:name="robustness-to-backbone-and-checkpoint"/>
    <w:p>
      <w:pPr>
        <w:pStyle w:val="Heading2"/>
      </w:pPr>
      <w:r>
        <w:t xml:space="preserve">8.5 Robustness to backbone and checkpoint</w:t>
      </w:r>
    </w:p>
    <w:p>
      <w:pPr>
        <w:pStyle w:val="FirstParagraph"/>
        <w:jc w:val="both"/>
      </w:pPr>
      <w:r>
        <w:rPr>
          <w:b/>
          <w:bCs/>
        </w:rPr>
        <w:t xml:space="preserve">Backbone.</w:t>
      </w:r>
      <w:r>
        <w:t xml:space="preserve"> </w:t>
      </w:r>
      <w:r>
        <w:t xml:space="preserve">We repeated the audit with two 1-D residual networks of roughly 70-</w:t>
      </w:r>
      <w:r>
        <w:t xml:space="preserve"> </w:t>
      </w:r>
      <w:r>
        <w:t xml:space="preserve">and 155-fold the parameter count of the primary backbone (Table X). Discrimination</w:t>
      </w:r>
      <w:r>
        <w:t xml:space="preserve"> </w:t>
      </w:r>
      <w:r>
        <w:t xml:space="preserve">responded unevenly to capacity: MIT-BIH accuracy rose from 0.869 to 0.926, but</w:t>
      </w:r>
      <w:r>
        <w:t xml:space="preserve"> </w:t>
      </w:r>
      <w:r>
        <w:t xml:space="preserve">balanced accuracy stayed at 0.370–0.376, and PTB-XL macro-AUROC</w:t>
      </w:r>
      <w:r>
        <w:t xml:space="preserve"> </w:t>
      </w:r>
      <w:r>
        <w:rPr>
          <w:i/>
          <w:iCs/>
        </w:rPr>
        <w:t xml:space="preserve">fell</w:t>
      </w:r>
      <w:r>
        <w:t xml:space="preserve"> </w:t>
      </w:r>
      <w:r>
        <w:t xml:space="preserve">slightly</w:t>
      </w:r>
      <w:r>
        <w:t xml:space="preserve"> </w:t>
      </w:r>
      <w:r>
        <w:t xml:space="preserve">from 0.902 to 0.896.</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as it must be; this serves as a negative control on the pipeline.</w:t>
      </w:r>
    </w:p>
    <w:p>
      <w:pPr>
        <w:pStyle w:val="BodyText"/>
        <w:keepNext/>
        <w:spacing w:before="160"/>
        <w:jc w:val="center"/>
      </w:pPr>
      <w:r/>
      <w:r>
        <w:rPr>
          <w:sz w:val="18"/>
        </w:rPr>
        <w:t>TABLE X</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pPr>
            <w:r>
              <w:rPr>
                <w:b/>
                <w:sz w:val="17"/>
              </w:rPr>
              <w:t xml:space="preserve">Backbone</w:t>
            </w:r>
          </w:p>
        </w:tc>
        <w:tc>
          <w:tcPr/>
          <w:p>
            <w:pPr>
              <w:pStyle w:val="Compact"/>
            </w:pPr>
            <w:r>
              <w:rPr>
                <w:b/>
                <w:sz w:val="17"/>
              </w:rPr>
              <w:t xml:space="preserve">Parameters (MIT-BIH / PTB-XL)</w:t>
            </w:r>
          </w:p>
        </w:tc>
        <w:tc>
          <w:tcPr/>
          <w:p>
            <w:pPr>
              <w:pStyle w:val="Compact"/>
              <w:jc w:val="right"/>
            </w:pPr>
            <w:r>
              <w:rPr>
                <w:b/>
                <w:sz w:val="17"/>
              </w:rPr>
              <w:t xml:space="preserve">MIT-BIH accuracy</w:t>
            </w:r>
          </w:p>
        </w:tc>
        <w:tc>
          <w:tcPr/>
          <w:p>
            <w:pPr>
              <w:pStyle w:val="Compact"/>
              <w:jc w:val="right"/>
            </w:pPr>
            <w:r>
              <w:rPr>
                <w:b/>
                <w:sz w:val="17"/>
              </w:rPr>
              <w:t xml:space="preserve">MIT-BIH balanced acc.</w:t>
            </w:r>
          </w:p>
        </w:tc>
        <w:tc>
          <w:tcPr/>
          <w:p>
            <w:pPr>
              <w:pStyle w:val="Compact"/>
              <w:jc w:val="right"/>
            </w:pPr>
            <w:r>
              <w:rPr>
                <w:b/>
                <w:sz w:val="17"/>
              </w:rPr>
              <w:t xml:space="preserve">PTB-XL macro-AUROC</w:t>
            </w:r>
          </w:p>
        </w:tc>
      </w:tr>
      <w:tr>
        <w:tc>
          <w:tcPr/>
          <w:p>
            <w:pPr>
              <w:pStyle w:val="Compact"/>
            </w:pPr>
            <w:r>
              <w:rPr>
                <w:sz w:val="17"/>
              </w:rPr>
              <w:t xml:space="preserve">SmallECGNet</w:t>
            </w:r>
          </w:p>
        </w:tc>
        <w:tc>
          <w:tcPr/>
          <w:p>
            <w:pPr>
              <w:pStyle w:val="Compact"/>
            </w:pPr>
            <w:r>
              <w:rPr>
                <w:sz w:val="17"/>
              </w:rPr>
              <w:t xml:space="preserve">101,925 / 104,389</w:t>
            </w:r>
          </w:p>
        </w:tc>
        <w:tc>
          <w:tcPr/>
          <w:p>
            <w:pPr>
              <w:pStyle w:val="Compact"/>
              <w:jc w:val="right"/>
            </w:pPr>
            <w:r>
              <w:rPr>
                <w:sz w:val="17"/>
              </w:rPr>
              <w:t xml:space="preserve">0.869</w:t>
            </w:r>
          </w:p>
        </w:tc>
        <w:tc>
          <w:tcPr/>
          <w:p>
            <w:pPr>
              <w:pStyle w:val="Compact"/>
              <w:jc w:val="right"/>
            </w:pPr>
            <w:r>
              <w:rPr>
                <w:sz w:val="17"/>
              </w:rPr>
              <w:t xml:space="preserve">0.375</w:t>
            </w:r>
          </w:p>
        </w:tc>
        <w:tc>
          <w:tcPr/>
          <w:p>
            <w:pPr>
              <w:pStyle w:val="Compact"/>
              <w:jc w:val="right"/>
            </w:pPr>
            <w:r>
              <w:rPr>
                <w:sz w:val="17"/>
              </w:rPr>
              <w:t xml:space="preserve">0.902</w:t>
            </w:r>
          </w:p>
        </w:tc>
      </w:tr>
      <w:tr>
        <w:tc>
          <w:tcPr/>
          <w:p>
            <w:pPr>
              <w:pStyle w:val="Compact"/>
            </w:pPr>
            <w:r>
              <w:rPr>
                <w:sz w:val="17"/>
              </w:rPr>
              <w:t xml:space="preserve">ResNet1D-34</w:t>
            </w:r>
          </w:p>
        </w:tc>
        <w:tc>
          <w:tcPr/>
          <w:p>
            <w:pPr>
              <w:pStyle w:val="Compact"/>
            </w:pPr>
            <w:r>
              <w:rPr>
                <w:sz w:val="17"/>
              </w:rPr>
              <w:t xml:space="preserve">7,220,805 / 7,225,733</w:t>
            </w:r>
          </w:p>
        </w:tc>
        <w:tc>
          <w:tcPr/>
          <w:p>
            <w:pPr>
              <w:pStyle w:val="Compact"/>
              <w:jc w:val="right"/>
            </w:pPr>
            <w:r>
              <w:rPr>
                <w:sz w:val="17"/>
              </w:rPr>
              <w:t xml:space="preserve">0.922</w:t>
            </w:r>
          </w:p>
        </w:tc>
        <w:tc>
          <w:tcPr/>
          <w:p>
            <w:pPr>
              <w:pStyle w:val="Compact"/>
              <w:jc w:val="right"/>
            </w:pPr>
            <w:r>
              <w:rPr>
                <w:sz w:val="17"/>
              </w:rPr>
              <w:t xml:space="preserve">0.376</w:t>
            </w:r>
          </w:p>
        </w:tc>
        <w:tc>
          <w:tcPr/>
          <w:p>
            <w:pPr>
              <w:pStyle w:val="Compac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attained nominal coverage in all 9 backbone×</w:t>
      </w:r>
      <m:oMath>
        <m:r>
          <m:t>α</m:t>
        </m:r>
      </m:oMath>
      <w:r>
        <w:t xml:space="preserve"> </w:t>
      </w:r>
      <w:r>
        <w:t xml:space="preserve">cells (mean</w:t>
      </w:r>
      <w:r>
        <w:t xml:space="preserve"> </w:t>
      </w:r>
      <w:r>
        <w:t xml:space="preserve">deficit +0.05 to +0.19 pp above nominal). On MIT-BIH, the permutation test of</w:t>
      </w:r>
      <w:r>
        <w:t xml:space="preserve"> </w:t>
      </w:r>
      <w:r>
        <w:t xml:space="preserve">§8.3 was repeated for each backbone under a criterion fixed beforehand:</w:t>
      </w:r>
      <w:r>
        <w:t xml:space="preserve"> </w:t>
      </w:r>
      <w:r>
        <w:t xml:space="preserve">significance at every feasible</w:t>
      </w:r>
      <w:r>
        <w:t xml:space="preserve"> </w:t>
      </w:r>
      <m:oMath>
        <m:r>
          <m:t>α</m:t>
        </m:r>
      </m:oMath>
      <w:r>
        <w:t xml:space="preserve"> </w:t>
      </w:r>
      <w:r>
        <w:t xml:space="preserve">(Table VIII, Fig. 6).</w:t>
      </w:r>
    </w:p>
    <w:p>
      <w:pPr>
        <w:pStyle w:val="BodyText"/>
        <w:jc w:val="both"/>
      </w:pPr>
      <w:r>
        <w:t xml:space="preserve">The deficit is positive in all 9 cells. By 95% interval it is significant in 7;</w:t>
      </w:r>
      <w:r>
        <w:t xml:space="preserve"> </w:t>
      </w:r>
      <w:r>
        <w:t xml:space="preserve">after the pre-specified Holm correction across the three levels it is significant</w:t>
      </w:r>
      <w:r>
        <w:t xml:space="preserve"> </w:t>
      </w:r>
      <w:r>
        <w:t xml:space="preserve">at 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but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The criterion therefore fails for ResNet1D-34. We claim that the direction of the</w:t>
      </w:r>
      <w:r>
        <w:t xml:space="preserve"> </w:t>
      </w:r>
      <w:r>
        <w:t xml:space="preserve">contrast between datasets is invariant to the backbone, but not that its</w:t>
      </w:r>
      <w:r>
        <w:t xml:space="preserve"> </w:t>
      </w:r>
      <w:r>
        <w:t xml:space="preserve">statistical strength is. The mechanical share of the B12−B1 gap under permutation</w:t>
      </w:r>
      <w:r>
        <w:t xml:space="preserve"> </w:t>
      </w:r>
      <w:r>
        <w:t xml:space="preserve">was 75–110% across the three backbones, confirming the withdrawal of that</w:t>
      </w:r>
      <w:r>
        <w:t xml:space="preserve"> </w:t>
      </w:r>
      <w:r>
        <w:t xml:space="preserve">criterion beyond the primary model.</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66" name="Picture"/>
            <a:graphic>
              <a:graphicData uri="http://schemas.openxmlformats.org/drawingml/2006/picture">
                <pic:pic>
                  <pic:nvPicPr>
                    <pic:cNvPr descr="figures/fig6_backbone_permutation.png" id="67" name="Picture"/>
                    <pic:cNvPicPr>
                      <a:picLocks noChangeArrowheads="1" noChangeAspect="1"/>
                    </pic:cNvPicPr>
                  </pic:nvPicPr>
                  <pic:blipFill>
                    <a:blip r:embed="rId65"/>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The magnitude did not agree: it moved by up to 1.8 pp on MIT-BIH,</w:t>
      </w:r>
      <w:r>
        <w:t xml:space="preserve"> </w:t>
      </w:r>
      <w:r>
        <w:t xml:space="preserve">enough to reorder the backbones. Differences in deficit magnitude between</w:t>
      </w:r>
      <w:r>
        <w:t xml:space="preserve"> </w:t>
      </w:r>
      <w:r>
        <w:t xml:space="preserve">backbones are therefore not interpreted.</w:t>
      </w:r>
    </w:p>
    <w:bookmarkEnd w:id="68"/>
    <w:bookmarkEnd w:id="69"/>
    <w:bookmarkStart w:id="76" w:name="discussion"/>
    <w:p>
      <w:pPr>
        <w:pStyle w:val="Heading1"/>
      </w:pPr>
      <w:r>
        <w:t xml:space="preserve">9. Discussion</w:t>
      </w:r>
    </w:p>
    <w:bookmarkStart w:id="70" w:name="what-the-audit-establishes"/>
    <w:p>
      <w:pPr>
        <w:pStyle w:val="Heading2"/>
      </w:pPr>
      <w:r>
        <w:t xml:space="preserve">9.1 What the audit establishes</w:t>
      </w:r>
    </w:p>
    <w:p>
      <w:pPr>
        <w:pStyle w:val="FirstParagraph"/>
        <w:jc w:val="both"/>
      </w:pPr>
      <w:r>
        <w:t xml:space="preserve">The audit separates two questions that are usually merged:</w:t>
      </w:r>
      <w:r>
        <w:t xml:space="preserve"> </w:t>
      </w:r>
      <w:r>
        <w:rPr>
          <w:i/>
          <w:iCs/>
        </w:rPr>
        <w:t xml:space="preserve">can</w:t>
      </w:r>
      <w:r>
        <w:t xml:space="preserve"> </w:t>
      </w:r>
      <w:r>
        <w:t xml:space="preserve">a block-level</w:t>
      </w:r>
      <w:r>
        <w:t xml:space="preserve"> </w:t>
      </w:r>
      <w:r>
        <w:t xml:space="preserve">coverage guarantee be enforced on a given clinical dataset, and</w:t>
      </w:r>
      <w:r>
        <w:t xml:space="preserve"> </w:t>
      </w:r>
      <w:r>
        <w:rPr>
          <w:i/>
          <w:iCs/>
        </w:rPr>
        <w:t xml:space="preserve">does</w:t>
      </w:r>
      <w:r>
        <w:t xml:space="preserve"> </w:t>
      </w:r>
      <w:r>
        <w:t xml:space="preserve">ignoring</w:t>
      </w:r>
      <w:r>
        <w:t xml:space="preserve"> </w:t>
      </w:r>
      <w:r>
        <w:t xml:space="preserve">the block structure cost coverage when it is not enforced. The first question is</w:t>
      </w:r>
      <w:r>
        <w:t xml:space="preserve"> </w:t>
      </w:r>
      <w:r>
        <w:t xml:space="preserve">combinatorial. It is answered from metadata, before any model is trained, and</w:t>
      </w:r>
      <w:r>
        <w:t xml:space="preserve"> </w:t>
      </w:r>
      <w:r>
        <w:t xml:space="preserve">its answers on public ECG resources are more restrictive than their size</w:t>
      </w:r>
      <w:r>
        <w:t xml:space="preserve"> </w:t>
      </w:r>
      <w:r>
        <w:t xml:space="preserve">suggests. The second question is statistical, and its answer depends on how much</w:t>
      </w:r>
      <w:r>
        <w:t xml:space="preserve"> </w:t>
      </w:r>
      <w:r>
        <w:t xml:space="preserve">repetition the blocks contain rather than on how strongly observations within a</w:t>
      </w:r>
      <w:r>
        <w:t xml:space="preserve"> </w:t>
      </w:r>
      <w:r>
        <w:t xml:space="preserve">block are correlated.</w:t>
      </w:r>
    </w:p>
    <w:p>
      <w:pPr>
        <w:pStyle w:val="BodyText"/>
        <w:jc w:val="both"/>
      </w:pPr>
      <w:r>
        <w:t xml:space="preserve">On the first question, three results stand out. PTB-XL fold 9 holds 2,183</w:t>
      </w:r>
      <w:r>
        <w:t xml:space="preserve"> </w:t>
      </w:r>
      <w:r>
        <w:t xml:space="preserve">records, yet once its four documented dependence sources are all declared, every</w:t>
      </w:r>
      <w:r>
        <w:t xml:space="preserve"> </w:t>
      </w:r>
      <w:r>
        <w:t xml:space="preserve">admissible calibration grouping collapses to a single block (§8.1). At the label</w:t>
      </w:r>
      <w:r>
        <w:t xml:space="preserve"> </w:t>
      </w:r>
      <w:r>
        <w:t xml:space="preserve">level, 24 of 44 SCP statements cannot receive a finite per-label threshold at</w:t>
      </w:r>
      <w:r>
        <w:t xml:space="preserve"> </w:t>
      </w:r>
      <m:oMath>
        <m:r>
          <m:t>α</m:t>
        </m:r>
        <m:r>
          <m:rPr>
            <m:sty m:val="p"/>
          </m:rPr>
          <m:t>=</m:t>
        </m:r>
        <m:r>
          <m:t>0.05</m:t>
        </m:r>
      </m:oMath>
      <w:r>
        <w:t xml:space="preserve"> </w:t>
      </w:r>
      <w:r>
        <w:t xml:space="preserve">even under patient-level blocking alone, because fewer than 19</w:t>
      </w:r>
      <w:r>
        <w:t xml:space="preserve"> </w:t>
      </w:r>
      <w:r>
        <w:t xml:space="preserve">calibration patients carry them (Table VI, Fig. 3). And on MIT-BIH, dividing</w:t>
      </w:r>
      <w:r>
        <w:t xml:space="preserve"> </w:t>
      </w:r>
      <w:r>
        <w:t xml:space="preserve">the 22 evaluation subjects of the canonical inter-patient partition evenly</w:t>
      </w:r>
      <w:r>
        <w:t xml:space="preserve"> </w:t>
      </w:r>
      <w:r>
        <w:t xml:space="preserve">between calibration and test gives</w:t>
      </w:r>
      <w:r>
        <w:t xml:space="preserve"> </w:t>
      </w:r>
      <m:oMath>
        <m:sSub>
          <m:e>
            <m:r>
              <m:t>K</m:t>
            </m:r>
          </m:e>
          <m:sub>
            <m:r>
              <m:t>1</m:t>
            </m:r>
          </m:sub>
        </m:sSub>
        <m:r>
          <m:rPr>
            <m:sty m:val="p"/>
          </m:rPr>
          <m:t>=</m:t>
        </m:r>
        <m:r>
          <m:t>11</m:t>
        </m:r>
      </m:oMath>
      <w:r>
        <w:t xml:space="preserve"> </w:t>
      </w:r>
      <w:r>
        <w:t xml:space="preserve">and therefore</w:t>
      </w:r>
      <w:r>
        <w:t xml:space="preserve"> </w:t>
      </w:r>
      <m:oMath>
        <m:sSub>
          <m:e>
            <m:r>
              <m:t>α</m:t>
            </m:r>
          </m:e>
          <m:sub>
            <m:r>
              <m:rPr>
                <m:sty m:val="p"/>
              </m:rPr>
              <m:t>min</m:t>
            </m:r>
          </m:sub>
        </m:sSub>
        <m:r>
          <m:rPr>
            <m:sty m:val="p"/>
          </m:rPr>
          <m:t>=</m:t>
        </m:r>
        <m:r>
          <m:t>1</m:t>
        </m:r>
        <m:r>
          <m:rPr>
            <m:sty m:val="p"/>
          </m:rPr>
          <m:t>/</m:t>
        </m:r>
        <m:r>
          <m:t>12</m:t>
        </m:r>
      </m:oMath>
      <w:r>
        <w:t xml:space="preserve">:</w:t>
      </w:r>
      <w:r>
        <w:t xml:space="preserve"> </w:t>
      </w:r>
      <w:r>
        <w:t xml:space="preserve">no subject-level guarantee at the conventional 95% level is attainable under</w:t>
      </w:r>
      <w:r>
        <w:t xml:space="preserve"> </w:t>
      </w:r>
      <w:r>
        <w:t xml:space="preserve">that design, regardless of the model or the number of beats per record. None of</w:t>
      </w:r>
      <w:r>
        <w:t xml:space="preserve"> </w:t>
      </w:r>
      <w:r>
        <w:t xml:space="preserve">these statements involves sampling error.</w:t>
      </w:r>
    </w:p>
    <w:p>
      <w:pPr>
        <w:pStyle w:val="BodyText"/>
        <w:jc w:val="both"/>
      </w:pPr>
      <w:r>
        <w:t xml:space="preserve">On the second question, naive split conformal under-covers on MIT-BIH relative</w:t>
      </w:r>
      <w:r>
        <w:t xml:space="preserve"> </w:t>
      </w:r>
      <w:r>
        <w:t xml:space="preserve">to a permutation null that preserves everything except within-record dependence</w:t>
      </w:r>
      <w:r>
        <w:t xml:space="preserve"> </w:t>
      </w:r>
      <w:r>
        <w:t xml:space="preserve">(Table VIII), and the factorial decomposition attributes the deficit to clustering</w:t>
      </w:r>
      <w:r>
        <w:t xml:space="preserve"> </w:t>
      </w:r>
      <w:r>
        <w:t xml:space="preserve">rather than to block-size imbalance (§8.3). The deficit scales with the design</w:t>
      </w:r>
      <w:r>
        <w:t xml:space="preserve"> </w:t>
      </w:r>
      <w:r>
        <w:t xml:space="preserve">effect (Fig. 5), and PTB-XL — where most patients contribute a single record —</w:t>
      </w:r>
      <w:r>
        <w:t xml:space="preserve"> </w:t>
      </w:r>
      <w:r>
        <w:t xml:space="preserve">shows none. The direction of this contrast is stable across a more than</w:t>
      </w:r>
      <w:r>
        <w:t xml:space="preserve"> </w:t>
      </w:r>
      <w:r>
        <w:t xml:space="preserve">hundredfold range of backbone capacity and across checkpoints; its statistical</w:t>
      </w:r>
      <w:r>
        <w:t xml:space="preserve"> </w:t>
      </w:r>
      <w:r>
        <w:t xml:space="preserve">strength is not (§8.5).</w:t>
      </w:r>
    </w:p>
    <w:bookmarkEnd w:id="70"/>
    <w:bookmarkStart w:id="71" w:name="X19dcde7a8f2c6b48ae58583d682d5b89a6ac27c"/>
    <w:p>
      <w:pPr>
        <w:pStyle w:val="Heading2"/>
      </w:pPr>
      <w:r>
        <w:t xml:space="preserve">9.2 Why a strongly correlated dataset can be harmless</w:t>
      </w:r>
    </w:p>
    <w:p>
      <w:pPr>
        <w:pStyle w:val="FirstParagraph"/>
        <w:jc w:val="both"/>
      </w:pPr>
      <w:r>
        <w:t xml:space="preserve">PTB-XL’s patient-level ICC of 0.35 is comparable to that of a MIT-BIH</w:t>
      </w:r>
      <w:r>
        <w:t xml:space="preserve"> </w:t>
      </w:r>
      <w:r>
        <w:t xml:space="preserve">configuration with a positive mean deficit, yet PTB-XL shows none. The resolution is</w:t>
      </w:r>
      <w:r>
        <w:t xml:space="preserve"> </w:t>
      </w:r>
      <w:r>
        <w:t xml:space="preserve">that dependence harms calibration only through repetition: with a harmonic mean</w:t>
      </w:r>
      <w:r>
        <w:t xml:space="preserve"> </w:t>
      </w:r>
      <w:r>
        <w:t xml:space="preserve">block size of</w:t>
      </w:r>
      <w:r>
        <w:t xml:space="preserve"> </w:t>
      </w:r>
      <m:oMath>
        <m:r>
          <m:t>H</m:t>
        </m:r>
        <m:r>
          <m:rPr>
            <m:sty m:val="p"/>
          </m:rPr>
          <m:t>=</m:t>
        </m:r>
        <m:r>
          <m:t>1.05</m:t>
        </m:r>
      </m:oMath>
      <w:r>
        <w:t xml:space="preserve">, the design effect</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A practitioner who measured the correlation alone would conclude that</w:t>
      </w:r>
      <w:r>
        <w:t xml:space="preserve"> </w:t>
      </w:r>
      <w:r>
        <w:t xml:space="preserve">PTB-XL requires block-level calibration; one who counted repeats would conclude,</w:t>
      </w:r>
      <w:r>
        <w:t xml:space="preserve"> </w:t>
      </w:r>
      <w:r>
        <w:t xml:space="preserve">correctly for marginal coverage at these levels, that it does not. The practical</w:t>
      </w:r>
      <w:r>
        <w:t xml:space="preserve"> </w:t>
      </w:r>
      <w:r>
        <w:t xml:space="preserve">reading is that two numbers must be reported together — how correlated</w:t>
      </w:r>
      <w:r>
        <w:t xml:space="preserve"> </w:t>
      </w:r>
      <w:r>
        <w:t xml:space="preserve">observations within a block are, and how many observations a typical block</w:t>
      </w:r>
      <w:r>
        <w:t xml:space="preserve"> </w:t>
      </w:r>
      <w:r>
        <w:t xml:space="preserve">contributes — and that neither is a property of the dataset alone:</w:t>
      </w:r>
      <w:r>
        <w:t xml:space="preserve"> </w:t>
      </w:r>
      <m:oMath>
        <m:sSub>
          <m:e>
            <m:r>
              <m:t>K</m:t>
            </m:r>
          </m:e>
          <m:sub>
            <m:r>
              <m:t>1</m:t>
            </m:r>
          </m:sub>
        </m:sSub>
      </m:oMath>
      <w:r>
        <w:t xml:space="preserve"> </w:t>
      </w:r>
      <w:r>
        <w:t xml:space="preserve">depends</w:t>
      </w:r>
      <w:r>
        <w:t xml:space="preserve"> </w:t>
      </w:r>
      <w:r>
        <w:t xml:space="preserve">on the split design, and</w:t>
      </w:r>
      <w:r>
        <w:t xml:space="preserve"> </w:t>
      </w:r>
      <m:oMath>
        <m:r>
          <m:t>ρ</m:t>
        </m:r>
      </m:oMath>
      <w:r>
        <w:t xml:space="preserve"> </w:t>
      </w:r>
      <w:r>
        <w:t xml:space="preserve">on the model producing the scores (§6.1).</w:t>
      </w:r>
    </w:p>
    <w:p>
      <w:pPr>
        <w:pStyle w:val="BodyText"/>
        <w:jc w:val="both"/>
      </w:pPr>
      <w:r>
        <w:t xml:space="preserve">We use the design effect only as an ordering axis. It is a heuristic under a</w:t>
      </w:r>
      <w:r>
        <w:t xml:space="preserve"> </w:t>
      </w:r>
      <w:r>
        <w:t xml:space="preserve">compound-symmetric model (§5.1), and a principled effective sample size for</w:t>
      </w:r>
      <w:r>
        <w:t xml:space="preserve"> </w:t>
      </w:r>
      <w:r>
        <w:t xml:space="preserve">thresholds under clustering has been derived separately [35]. The ordering is</w:t>
      </w:r>
      <w:r>
        <w:t xml:space="preserve"> </w:t>
      </w:r>
      <w:r>
        <w:t xml:space="preserve">what the dose–response analysis tests, and it holds on both raw-score and</w:t>
      </w:r>
      <w:r>
        <w:t xml:space="preserve"> </w:t>
      </w:r>
      <w:r>
        <w:t xml:space="preserve">indicator correlations (Table IX).</w:t>
      </w:r>
    </w:p>
    <w:bookmarkEnd w:id="71"/>
    <w:bookmarkStart w:id="72" w:name="X2082e78ae0f4c77c313456103384ade8026f359"/>
    <w:p>
      <w:pPr>
        <w:pStyle w:val="Heading2"/>
      </w:pPr>
      <w:r>
        <w:t xml:space="preserve">9.3 A pitfall in evaluating hierarchical conformal methods</w:t>
      </w:r>
    </w:p>
    <w:p>
      <w:pPr>
        <w:pStyle w:val="FirstParagraph"/>
        <w:jc w:val="both"/>
      </w:pPr>
      <w:r>
        <w:t xml:space="preserve">The most transferable lesson of the audit concerns evaluation rather than</w:t>
      </w:r>
      <w:r>
        <w:t xml:space="preserve"> </w:t>
      </w:r>
      <w:r>
        <w:t xml:space="preserve">ECG. Comparing HCP with naive split conformal on the same data appears to show</w:t>
      </w:r>
      <w:r>
        <w:t xml:space="preserve"> </w:t>
      </w:r>
      <w:r>
        <w:t xml:space="preserve">that HCP</w:t>
      </w:r>
      <w:r>
        <w:t xml:space="preserve"> </w:t>
      </w:r>
      <w:r>
        <w:t xml:space="preserve">“restores”</w:t>
      </w:r>
      <w:r>
        <w:t xml:space="preserve"> </w:t>
      </w:r>
      <w:r>
        <w:t xml:space="preserve">coverage. Our permutation control shows that 75–110% of that</w:t>
      </w:r>
      <w:r>
        <w:t xml:space="preserve"> </w:t>
      </w:r>
      <w:r>
        <w:t xml:space="preserve">gap survives when within-block dependence is destroyed (§8.3, §8.5). The finite</w:t>
      </w:r>
      <w:r>
        <w:t xml:space="preserve"> </w:t>
      </w:r>
      <w:r>
        <w:t xml:space="preserve">block correction places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and thereby forces HCP to a</w:t>
      </w:r>
      <w:r>
        <w:t xml:space="preserve"> </w:t>
      </w:r>
      <w:r>
        <w:t xml:space="preserve">higher empirical quantile whether or not the data are dependent. With small</w:t>
      </w:r>
      <w:r>
        <w:t xml:space="preserve"> </w:t>
      </w:r>
      <m:oMath>
        <m:sSub>
          <m:e>
            <m:r>
              <m:t>K</m:t>
            </m:r>
          </m:e>
          <m:sub>
            <m:r>
              <m:t>1</m:t>
            </m:r>
          </m:sub>
        </m:sSub>
      </m:oMath>
      <w:r>
        <w:t xml:space="preserve"> </w:t>
      </w:r>
      <w:r>
        <w:t xml:space="preserve">— exactly the regime in which block-level calibration matters — this</w:t>
      </w:r>
      <w:r>
        <w:t xml:space="preserve"> </w:t>
      </w:r>
      <w:r>
        <w:t xml:space="preserve">mechanical inflation dominates. Below</w:t>
      </w:r>
      <w:r>
        <w:t xml:space="preserve"> </w:t>
      </w:r>
      <m:oMath>
        <m:sSub>
          <m:e>
            <m:r>
              <m:t>α</m:t>
            </m:r>
          </m:e>
          <m:sub>
            <m:r>
              <m:rPr>
                <m:sty m:val="p"/>
              </m:rPr>
              <m:t>min</m:t>
            </m:r>
          </m:sub>
        </m:sSub>
      </m:oMath>
      <w:r>
        <w:t xml:space="preserve"> </w:t>
      </w:r>
      <w:r>
        <w:t xml:space="preserve">the comparison is</w:t>
      </w:r>
      <w:r>
        <w:t xml:space="preserve"> </w:t>
      </w:r>
      <w:r>
        <w:t xml:space="preserve">degenerate: HCP attains perfect coverage by returning every label (Fig. 4).</w:t>
      </w:r>
    </w:p>
    <w:p>
      <w:pPr>
        <w:pStyle w:val="BodyText"/>
        <w:jc w:val="both"/>
      </w:pPr>
      <w:r>
        <w:t xml:space="preserve">Two practices follow. A claim that a hierarchical method improves coverage should</w:t>
      </w:r>
      <w:r>
        <w:t xml:space="preserve"> </w:t>
      </w:r>
      <w:r>
        <w:t xml:space="preserve">be tested against a null that preserves block sizes and score marginals while</w:t>
      </w:r>
      <w:r>
        <w:t xml:space="preserve"> </w:t>
      </w:r>
      <w:r>
        <w:t xml:space="preserve">removing dependence, rather than against the naive baseline alone. And coverage</w:t>
      </w:r>
      <w:r>
        <w:t xml:space="preserve"> </w:t>
      </w:r>
      <w:r>
        <w:t xml:space="preserve">should always be reported jointly with set size, since abstention is the cheapest</w:t>
      </w:r>
      <w:r>
        <w:t xml:space="preserve"> </w:t>
      </w:r>
      <w:r>
        <w:t xml:space="preserve">way to cover.</w:t>
      </w:r>
    </w:p>
    <w:bookmarkEnd w:id="72"/>
    <w:bookmarkStart w:id="73" w:name="implications-for-clinical-ecg-studies"/>
    <w:p>
      <w:pPr>
        <w:pStyle w:val="Heading2"/>
      </w:pPr>
      <w:r>
        <w:t xml:space="preserve">9.4 Implications for clinical ECG studies</w:t>
      </w:r>
    </w:p>
    <w:p>
      <w:pPr>
        <w:pStyle w:val="FirstParagraph"/>
        <w:jc w:val="both"/>
      </w:pPr>
      <w:r>
        <w:t xml:space="preserve">For studies that intend to attach distribution-free guarantees to ECG</w:t>
      </w:r>
      <w:r>
        <w:t xml:space="preserve"> </w:t>
      </w:r>
      <w:r>
        <w:t xml:space="preserve">classifiers, the audit suggests a short checklist that can be completed before</w:t>
      </w:r>
      <w:r>
        <w:t xml:space="preserve"> </w:t>
      </w:r>
      <w:r>
        <w:t xml:space="preserve">data are collected or split:</w:t>
      </w:r>
    </w:p>
    <w:p>
      <w:pPr>
        <w:pStyle w:val="Compact"/>
        <w:numPr>
          <w:ilvl w:val="0"/>
          <w:numId w:val="1002"/>
        </w:numPr>
      </w:pPr>
      <w:r>
        <w:t xml:space="preserve">Declare dependence sources — patient, device, site, operator, monitoring</w:t>
      </w:r>
      <w:r>
        <w:t xml:space="preserve"> </w:t>
      </w:r>
      <w:r>
        <w:t xml:space="preserve">episode — and check whether each is documented in the metadata. Where it is</w:t>
      </w:r>
      <w:r>
        <w:t xml:space="preserve"> </w:t>
      </w:r>
      <w:r>
        <w:t xml:space="preserve">not, as for patient identity in the PhysioNet/CinC Challenge 2021 collection</w:t>
      </w:r>
      <w:r>
        <w:t xml:space="preserve"> </w:t>
      </w:r>
      <w:r>
        <w:t xml:space="preserve">(§6.4), the number of 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and for</w:t>
      </w:r>
      <w:r>
        <w:t xml:space="preserve"> </w:t>
      </w:r>
      <w:r>
        <w:t xml:space="preserve">simultaneous claims across</w:t>
      </w:r>
      <w:r>
        <w:t xml:space="preserve"> </w:t>
      </w:r>
      <m:oMath>
        <m:r>
          <m:t>m</m:t>
        </m:r>
      </m:oMath>
      <w:r>
        <w:t xml:space="preserve"> </w:t>
      </w:r>
      <w:r>
        <w:t xml:space="preserve">labels use</w:t>
      </w:r>
      <w:r>
        <w:t xml:space="preserve"> </w:t>
      </w:r>
      <m:oMath>
        <m:r>
          <m:rPr>
            <m:sty m:val="p"/>
          </m:rPr>
          <m:t>⌈</m:t>
        </m:r>
        <m:r>
          <m:t>m</m:t>
        </m:r>
        <m:r>
          <m:rPr>
            <m:sty m:val="p"/>
          </m:rPr>
          <m:t>/</m:t>
        </m:r>
        <m:r>
          <m:t>α</m:t>
        </m:r>
        <m:r>
          <m:rPr>
            <m:sty m:val="p"/>
          </m:rPr>
          <m:t>⌉</m:t>
        </m:r>
        <m:r>
          <m:rPr>
            <m:sty m:val="p"/>
          </m:rPr>
          <m:t>−</m:t>
        </m:r>
        <m:r>
          <m:t>1</m:t>
        </m:r>
      </m:oMath>
      <w:r>
        <w:t xml:space="preserve">. Rare</w:t>
      </w:r>
      <w:r>
        <w:t xml:space="preserve"> </w:t>
      </w:r>
      <w:r>
        <w:t xml:space="preserve">diagnoses will typically fail first.</w:t>
      </w:r>
    </w:p>
    <w:p>
      <w:pPr>
        <w:pStyle w:val="Compact"/>
        <w:numPr>
          <w:ilvl w:val="0"/>
          <w:numId w:val="1002"/>
        </w:numPr>
      </w:pPr>
      <w:r>
        <w:t xml:space="preserve">Estimate the repetition — the harmonic mean block size — before deciding</w:t>
      </w:r>
      <w:r>
        <w:t xml:space="preserve"> </w:t>
      </w:r>
      <w:r>
        <w:t xml:space="preserve">whether block-level calibration is needed for marginal coverage.</w:t>
      </w:r>
    </w:p>
    <w:p>
      <w:pPr>
        <w:pStyle w:val="FirstParagraph"/>
        <w:jc w:val="both"/>
      </w:pPr>
      <w:r>
        <w:t xml:space="preserve">The same counting applies wherever conditional coverage is sought over groups of</w:t>
      </w:r>
      <w:r>
        <w:t xml:space="preserve"> </w:t>
      </w:r>
      <w:r>
        <w:t xml:space="preserve">patients. Group-conditional conformal prediction has been proposed to equalise</w:t>
      </w:r>
      <w:r>
        <w:t xml:space="preserve"> </w:t>
      </w:r>
      <w:r>
        <w:t xml:space="preserve">coverage across demographic groups [38]; when calibration must also respect</w:t>
      </w:r>
      <w:r>
        <w:t xml:space="preserve"> </w:t>
      </w:r>
      <w:r>
        <w:t xml:space="preserve">patient blocks, a group that contains few patients in calibration is bounded in</w:t>
      </w:r>
      <w:r>
        <w:t xml:space="preserve"> </w:t>
      </w:r>
      <w:r>
        <w:t xml:space="preserve">exactly the way rare labels are here. Conversely,</w:t>
      </w:r>
      <w:r>
        <w:t xml:space="preserve"> </w:t>
      </w:r>
      <w:r>
        <w:t xml:space="preserve">hierarchical healthcare settings with thousands of blocks, such as admissions</w:t>
      </w:r>
      <w:r>
        <w:t xml:space="preserve"> </w:t>
      </w:r>
      <w:r>
        <w:t xml:space="preserve">nested in hospitals [39], sit far from the boundary, which is why the boundary is</w:t>
      </w:r>
      <w:r>
        <w:t xml:space="preserve"> </w:t>
      </w:r>
      <w:r>
        <w:t xml:space="preserve">easy to overlook.</w:t>
      </w:r>
    </w:p>
    <w:p>
      <w:pPr>
        <w:pStyle w:val="BodyText"/>
        <w:jc w:val="both"/>
      </w:pPr>
      <w:r>
        <w:t xml:space="preserve">The inter-patient protocol for heartbeat classification exists precisely to</w:t>
      </w:r>
      <w:r>
        <w:t xml:space="preserve"> </w:t>
      </w:r>
      <w:r>
        <w:t xml:space="preserve">prevent subject-level leakage between training and evaluation [26], [28], [27],</w:t>
      </w:r>
      <w:r>
        <w:t xml:space="preserve"> </w:t>
      </w:r>
      <w:r>
        <w:t xml:space="preserve">and the consequences of inter-patient, intra-patient and patient-specific</w:t>
      </w:r>
      <w:r>
        <w:t xml:space="preserve"> </w:t>
      </w:r>
      <w:r>
        <w:t xml:space="preserve">training regimes have been compared directly [40]. The present audit extends the</w:t>
      </w:r>
      <w:r>
        <w:t xml:space="preserve"> </w:t>
      </w:r>
      <w:r>
        <w:t xml:space="preserve">same concern one step further, from the training–evaluation boundary to the</w:t>
      </w:r>
      <w:r>
        <w:t xml:space="preserve"> </w:t>
      </w:r>
      <w:r>
        <w:t xml:space="preserve">calibration–test boundary: a split that is inter-patient for training purposes</w:t>
      </w:r>
      <w:r>
        <w:t xml:space="preserve"> </w:t>
      </w:r>
      <w:r>
        <w:t xml:space="preserve">can still leave too few subjects in calibration for the guarantee one intends to</w:t>
      </w:r>
      <w:r>
        <w:t xml:space="preserve"> </w:t>
      </w:r>
      <w:r>
        <w:t xml:space="preserve">report.</w:t>
      </w:r>
    </w:p>
    <w:bookmarkEnd w:id="73"/>
    <w:bookmarkStart w:id="74" w:name="relation-to-prior-work"/>
    <w:p>
      <w:pPr>
        <w:pStyle w:val="Heading2"/>
      </w:pPr>
      <w:r>
        <w:t xml:space="preserve">9.5 Relation to prior work</w:t>
      </w:r>
    </w:p>
    <w:p>
      <w:pPr>
        <w:pStyle w:val="FirstParagraph"/>
        <w:jc w:val="both"/>
      </w:pPr>
      <w:r>
        <w:t xml:space="preserve">Lee et al. identify the trade-off between many small groups and few large groups</w:t>
      </w:r>
      <w:r>
        <w:t xml:space="preserve"> </w:t>
      </w:r>
      <w:r>
        <w:t xml:space="preserve">as an open question for study design in this setting [9]. Our results address</w:t>
      </w:r>
      <w:r>
        <w:t xml:space="preserve"> </w:t>
      </w:r>
      <w:r>
        <w:t xml:space="preserve">its most elementary part: whether a finite threshold exists at all, which depends</w:t>
      </w:r>
      <w:r>
        <w:t xml:space="preserve"> </w:t>
      </w:r>
      <w:r>
        <w:t xml:space="preserve">on the number of groups alone (Proposition 1), and when the number of repeats</w:t>
      </w:r>
      <w:r>
        <w:t xml:space="preserve"> </w:t>
      </w:r>
      <w:r>
        <w:t xml:space="preserve">starts to matter for coverage, which depends on the design effect (§8.4). In the</w:t>
      </w:r>
      <w:r>
        <w:t xml:space="preserve"> </w:t>
      </w:r>
      <w:r>
        <w:t xml:space="preserve">exchangeable case, the distribution of empirical coverage of split conformal</w:t>
      </w:r>
      <w:r>
        <w:t xml:space="preserve"> </w:t>
      </w:r>
      <w:r>
        <w:t xml:space="preserve">prediction is universal and depends only on the miscoverage level and the</w:t>
      </w:r>
      <w:r>
        <w:t xml:space="preserve"> </w:t>
      </w:r>
      <w:r>
        <w:t xml:space="preserve">calibration size, which yields a criterion for the minimum calibration size [41].</w:t>
      </w:r>
      <w:r>
        <w:t xml:space="preserve"> </w:t>
      </w:r>
      <w:r>
        <w:t xml:space="preserve">Our feasibility bound plays the analogous role under hierarchical dependence,</w:t>
      </w:r>
      <w:r>
        <w:t xml:space="preserve"> </w:t>
      </w:r>
      <w:r>
        <w:t xml:space="preserve">with the number of calibration blocks in place of the number of calibration</w:t>
      </w:r>
      <w:r>
        <w:t xml:space="preserve"> </w:t>
      </w:r>
      <w:r>
        <w:t xml:space="preserve">points. Class-conditional calibration is known to be starved by rare classes</w:t>
      </w:r>
      <w:r>
        <w:t xml:space="preserve"> </w:t>
      </w:r>
      <w:r>
        <w:t xml:space="preserve">under exchangeability [37]; under block dependence the unit that must be counted</w:t>
      </w:r>
      <w:r>
        <w:t xml:space="preserve"> </w:t>
      </w:r>
      <w:r>
        <w:t xml:space="preserve">becomes the number of blocks carrying the class, and the condition we state is</w:t>
      </w:r>
      <w:r>
        <w:t xml:space="preserve"> </w:t>
      </w:r>
      <w:r>
        <w:t xml:space="preserve">necessary but not sufficient (§5.3).</w:t>
      </w:r>
    </w:p>
    <w:p>
      <w:pPr>
        <w:pStyle w:val="BodyText"/>
        <w:jc w:val="both"/>
      </w:pPr>
      <w:r>
        <w:t xml:space="preserve">Risk-control extensions of conformal prediction [30], [42] and its time-series</w:t>
      </w:r>
      <w:r>
        <w:t xml:space="preserve"> </w:t>
      </w:r>
      <w:r>
        <w:t xml:space="preserve">variants [31] rest on related exchangeability or stationarity assumptions.</w:t>
      </w:r>
      <w:r>
        <w:t xml:space="preserve"> </w:t>
      </w:r>
      <w:r>
        <w:t xml:space="preserve">Whether their block-level counterparts are subject to the same feasibility</w:t>
      </w:r>
      <w:r>
        <w:t xml:space="preserve"> </w:t>
      </w:r>
      <w:r>
        <w:t xml:space="preserve">boundary is a natural question that we do not address.</w:t>
      </w:r>
    </w:p>
    <w:bookmarkEnd w:id="74"/>
    <w:bookmarkStart w:id="75" w:name="limitations-of-scope"/>
    <w:p>
      <w:pPr>
        <w:pStyle w:val="Heading2"/>
      </w:pPr>
      <w:r>
        <w:t xml:space="preserve">9.6 Limitations of scope</w:t>
      </w:r>
    </w:p>
    <w:p>
      <w:pPr>
        <w:pStyle w:val="FirstParagraph"/>
        <w:jc w:val="both"/>
      </w:pPr>
      <w:r>
        <w:t xml:space="preserve">The audit concerns marginal and label-wise coverage of a single method family.</w:t>
      </w:r>
      <w:r>
        <w:t xml:space="preserve"> </w:t>
      </w:r>
      <w:r>
        <w:t xml:space="preserve">It does not compare hierarchical constructions with one another [10], does not</w:t>
      </w:r>
      <w:r>
        <w:t xml:space="preserve"> </w:t>
      </w:r>
      <w:r>
        <w:t xml:space="preserve">address temporal dependence within a patient across visits, and uses two</w:t>
      </w:r>
      <w:r>
        <w:t xml:space="preserve"> </w:t>
      </w:r>
      <w:r>
        <w:t xml:space="preserve">datasets whose dependence structures differ along one axis. Post hoc explanation</w:t>
      </w:r>
      <w:r>
        <w:t xml:space="preserve"> </w:t>
      </w:r>
      <w:r>
        <w:t xml:space="preserve">of what ECG networks learn [43] and benchmark discrimination [1] are orthogonal</w:t>
      </w:r>
      <w:r>
        <w:t xml:space="preserve"> </w:t>
      </w:r>
      <w:r>
        <w:t xml:space="preserve">to the question asked here: a highly accurate model calibrated on too few blocks</w:t>
      </w:r>
      <w:r>
        <w:t xml:space="preserve"> </w:t>
      </w:r>
      <w:r>
        <w:t xml:space="preserve">remains without a guarantee. The threats to validity of each result are</w:t>
      </w:r>
      <w:r>
        <w:t xml:space="preserve"> </w:t>
      </w:r>
      <w:r>
        <w:t xml:space="preserve">detailed in §10.</w:t>
      </w:r>
    </w:p>
    <w:bookmarkEnd w:id="75"/>
    <w:bookmarkEnd w:id="76"/>
    <w:bookmarkStart w:id="83" w:name="threats-to-validity"/>
    <w:p>
      <w:pPr>
        <w:pStyle w:val="Heading1"/>
      </w:pPr>
      <w:r>
        <w:t xml:space="preserve">10. Threats to Validity</w:t>
      </w:r>
    </w:p>
    <w:bookmarkStart w:id="77" w:name="internal-validity"/>
    <w:p>
      <w:pPr>
        <w:pStyle w:val="Heading2"/>
      </w:pPr>
      <w:r>
        <w:t xml:space="preserve">10.1 Internal validity</w:t>
      </w:r>
    </w:p>
    <w:p>
      <w:pPr>
        <w:pStyle w:val="FirstParagraph"/>
        <w:jc w:val="both"/>
      </w:pPr>
      <w:r>
        <w:rPr>
          <w:b/>
          <w:bCs/>
        </w:rPr>
        <w:t xml:space="preserve">Label provenance.</w:t>
      </w:r>
      <w:r>
        <w:t xml:space="preserve"> </w:t>
      </w:r>
      <w:r>
        <w:t xml:space="preserve">Only 64–68% of PTB-XL records in folds 1–8 were validated</w:t>
      </w:r>
      <w:r>
        <w:t xml:space="preserve"> </w:t>
      </w:r>
      <w:r>
        <w:t xml:space="preserve">by a cardiologist, against 100% in folds 9 and 10. An early version of the study</w:t>
      </w:r>
      <w:r>
        <w:t xml:space="preserve"> </w:t>
      </w:r>
      <w:r>
        <w:t xml:space="preserve">calibrated on fold 8 and evaluated on fold 9 and found an apparent 1.43</w:t>
      </w:r>
      <w:r>
        <w:t xml:space="preserve"> </w:t>
      </w:r>
      <w:r>
        <w:t xml:space="preserve">percentage-point deficit at</w:t>
      </w:r>
      <w:r>
        <w:t xml:space="preserve"> </w:t>
      </w:r>
      <m:oMath>
        <m:r>
          <m:t>α</m:t>
        </m:r>
        <m:r>
          <m:rPr>
            <m:sty m:val="p"/>
          </m:rPr>
          <m:t>=</m:t>
        </m:r>
        <m:r>
          <m:t>0.05</m:t>
        </m:r>
      </m:oMath>
      <w:r>
        <w:t xml:space="preserve">; it was an artefact of label-quality</w:t>
      </w:r>
      <w:r>
        <w:t xml:space="preserve"> </w:t>
      </w:r>
      <w:r>
        <w:t xml:space="preserve">shift between folds, not of block dependence. All confirmatory analyses therefore</w:t>
      </w:r>
      <w:r>
        <w:t xml:space="preserve"> </w:t>
      </w:r>
      <w:r>
        <w:t xml:space="preserve">use fold 9, and fold 10 has not been examined.</w:t>
      </w:r>
    </w:p>
    <w:p>
      <w:pPr>
        <w:pStyle w:val="BodyText"/>
        <w:jc w:val="both"/>
      </w:pPr>
      <w:r>
        <w:rPr>
          <w:b/>
          <w:bCs/>
        </w:rPr>
        <w:t xml:space="preserve">Data handling.</w:t>
      </w:r>
      <w:r>
        <w:t xml:space="preserve"> </w:t>
      </w:r>
      <w:r>
        <w:t xml:space="preserve">Each data-handling decision of §6.2–6.3 guards against a</w:t>
      </w:r>
      <w:r>
        <w:t xml:space="preserve"> </w:t>
      </w:r>
      <w:r>
        <w:t xml:space="preserve">failure mode that raises no error: the 411 PTB-XL records without a diagnostic</w:t>
      </w:r>
      <w:r>
        <w:t xml:space="preserve"> </w:t>
      </w:r>
      <w:r>
        <w:t xml:space="preserve">superclass are excluded rather than given a default label; the MIT-BIH lead is</w:t>
      </w:r>
      <w:r>
        <w:t xml:space="preserve"> </w:t>
      </w:r>
      <w:r>
        <w:t xml:space="preserve">selected by name because record 114 stores its channels in reverse order; beats</w:t>
      </w:r>
      <w:r>
        <w:t xml:space="preserve"> </w:t>
      </w:r>
      <w:r>
        <w:t xml:space="preserve">too close to a record boundary are dropped rather than zero-padded; and the</w:t>
      </w:r>
      <w:r>
        <w:t xml:space="preserve"> </w:t>
      </w:r>
      <w:r>
        <w:t xml:space="preserve">subject shared by records 201 and 202 across DS1 and DS2 is retained for</w:t>
      </w:r>
      <w:r>
        <w:t xml:space="preserve"> </w:t>
      </w:r>
      <w:r>
        <w:t xml:space="preserve">comparability and stated. All preprocessing is fitted on training data only.</w:t>
      </w:r>
    </w:p>
    <w:bookmarkEnd w:id="77"/>
    <w:bookmarkStart w:id="78" w:name="construct-validity"/>
    <w:p>
      <w:pPr>
        <w:pStyle w:val="Heading2"/>
      </w:pPr>
      <w:r>
        <w:t xml:space="preserve">10.2 Construct validity</w:t>
      </w:r>
    </w:p>
    <w:p>
      <w:pPr>
        <w:pStyle w:val="FirstParagraph"/>
        <w:jc w:val="both"/>
      </w:pPr>
      <w:r>
        <w:rPr>
          <w:b/>
          <w:bCs/>
        </w:rPr>
        <w:t xml:space="preserve">Degenerate class.</w:t>
      </w:r>
      <w:r>
        <w:t xml:space="preserve"> </w:t>
      </w:r>
      <w:r>
        <w:t xml:space="preserve">MIT-BIH class Q has 15 beats in total, of which 7 lie in</w:t>
      </w:r>
      <w:r>
        <w:t xml:space="preserve"> </w:t>
      </w:r>
      <w:r>
        <w:t xml:space="preserve">just two evaluation records. Per-class statistics for Q are uninterpretable;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w:t>
      </w:r>
    </w:p>
    <w:p>
      <w:pPr>
        <w:pStyle w:val="BodyText"/>
        <w:jc w:val="both"/>
      </w:pPr>
      <w:r>
        <w:rPr>
          <w:b/>
          <w:bCs/>
        </w:rPr>
        <w:t xml:space="preserve">Model quality.</w:t>
      </w:r>
      <w:r>
        <w:t xml:space="preserve"> </w:t>
      </w:r>
      <w:r>
        <w:t xml:space="preserve">Conformal guarantees are model-agnostic: a weak model widens</w:t>
      </w:r>
      <w:r>
        <w:t xml:space="preserve"> </w:t>
      </w:r>
      <w:r>
        <w:t xml:space="preserve">prediction sets without reducing coverage. Our primary backbones are below</w:t>
      </w:r>
      <w:r>
        <w:t xml:space="preserve"> </w:t>
      </w:r>
      <w:r>
        <w:t xml:space="preserve">published PTB-XL benchmarks [1] and weak on MIT-BIH minority classes (balanced</w:t>
      </w:r>
      <w:r>
        <w:t xml:space="preserve"> </w:t>
      </w:r>
      <w:r>
        <w:t xml:space="preserve">accuracy 0.37–0.38 for all three backbones). Their discrimination therefore bears</w:t>
      </w:r>
      <w:r>
        <w:t xml:space="preserve"> </w:t>
      </w:r>
      <w:r>
        <w:t xml:space="preserve">on set size, not on the coverage findings — a reading we tested rather than</w:t>
      </w:r>
      <w:r>
        <w:t xml:space="preserve"> </w:t>
      </w:r>
      <w:r>
        <w:t xml:space="preserve">assumed, by repeating every audit on two larger residual networks (§8.5).</w:t>
      </w:r>
    </w:p>
    <w:p>
      <w:pPr>
        <w:pStyle w:val="BodyText"/>
        <w:jc w:val="both"/>
      </w:pPr>
      <w:r>
        <w:rPr>
          <w:b/>
          <w:bCs/>
        </w:rPr>
        <w:t xml:space="preserve">Checkpoint selection.</w:t>
      </w:r>
      <w:r>
        <w:t xml:space="preserve"> </w:t>
      </w:r>
      <w:r>
        <w:t xml:space="preserve">The MIT-BIH validation set holds 4 records, and early</w:t>
      </w:r>
      <w:r>
        <w:t xml:space="preserve"> </w:t>
      </w:r>
      <w:r>
        <w:t xml:space="preserve">stopping selected epoch 1 for ResNet1D-50. The pre-registered last-epoch</w:t>
      </w:r>
      <w:r>
        <w:t xml:space="preserve"> </w:t>
      </w:r>
      <w:r>
        <w:t xml:space="preserve">sensitivity analysis (§8.5) preserved the sign of every deficit and every</w:t>
      </w:r>
      <w:r>
        <w:t xml:space="preserve"> </w:t>
      </w:r>
      <m:oMath>
        <m:sSub>
          <m:e>
            <m:r>
              <m:t>K</m:t>
            </m:r>
          </m:e>
          <m:sub>
            <m:r>
              <m:t>1</m:t>
            </m:r>
          </m:sub>
        </m:sSub>
      </m:oMath>
      <w:r>
        <w:t xml:space="preserve">,</w:t>
      </w:r>
      <w:r>
        <w:t xml:space="preserve"> </w:t>
      </w:r>
      <w:r>
        <w:t xml:space="preserve">but not its magnitude, which we therefore do not interpret across backbones.</w:t>
      </w:r>
    </w:p>
    <w:bookmarkEnd w:id="78"/>
    <w:bookmarkStart w:id="79" w:name="external-validity"/>
    <w:p>
      <w:pPr>
        <w:pStyle w:val="Heading2"/>
      </w:pPr>
      <w:r>
        <w:t xml:space="preserve">10.3 External validity</w:t>
      </w:r>
    </w:p>
    <w:p>
      <w:pPr>
        <w:pStyle w:val="FirstParagraph"/>
        <w:jc w:val="both"/>
      </w:pPr>
      <w:r>
        <w:rPr>
          <w:b/>
          <w:bCs/>
        </w:rPr>
        <w:t xml:space="preserve">Single institution.</w:t>
      </w:r>
      <w:r>
        <w:t xml:space="preserve"> </w:t>
      </w:r>
      <w:r>
        <w:t xml:space="preserve">PTB-XL was recorded at one institution between 1989 and</w:t>
      </w:r>
      <w:r>
        <w:t xml:space="preserve"> </w:t>
      </w:r>
      <w:r>
        <w:t xml:space="preserve">1996. Its device, nurse and site metadata are what make the block analysis</w:t>
      </w:r>
      <w:r>
        <w:t xml:space="preserve"> </w:t>
      </w:r>
      <w:r>
        <w:t xml:space="preserve">possible, but its estimates of</w:t>
      </w:r>
      <w:r>
        <w:t xml:space="preserve"> </w:t>
      </w:r>
      <m:oMath>
        <m:r>
          <m:t>ρ</m:t>
        </m:r>
      </m:oMath>
      <w:r>
        <w:t xml:space="preserve"> </w:t>
      </w:r>
      <w:r>
        <w:t xml:space="preserve">and</w:t>
      </w:r>
      <w:r>
        <w:t xml:space="preserve"> </w:t>
      </w:r>
      <m:oMath>
        <m:r>
          <m:t>H</m:t>
        </m:r>
      </m:oMath>
      <w:r>
        <w:t xml:space="preserve"> </w:t>
      </w:r>
      <w:r>
        <w:t xml:space="preserve">need not transfer to contemporary</w:t>
      </w:r>
      <w:r>
        <w:t xml:space="preserve"> </w:t>
      </w:r>
      <w:r>
        <w:t xml:space="preserve">multi-centre cohorts.</w:t>
      </w:r>
    </w:p>
    <w:p>
      <w:pPr>
        <w:pStyle w:val="BodyText"/>
        <w:jc w:val="both"/>
      </w:pPr>
      <w:r>
        <w:rPr>
          <w:b/>
          <w:bCs/>
        </w:rPr>
        <w:t xml:space="preserve">One gradient, one external point.</w:t>
      </w:r>
      <w:r>
        <w:t xml:space="preserve"> </w:t>
      </w:r>
      <w:r>
        <w:t xml:space="preserve">Eleven of the twelve points in the</w:t>
      </w:r>
      <w:r>
        <w:t xml:space="preserve"> </w:t>
      </w:r>
      <w:r>
        <w:t xml:space="preserve">dose–response analysis are synthetic configurations of MIT-BIH obtained by</w:t>
      </w:r>
      <w:r>
        <w:t xml:space="preserve"> </w:t>
      </w:r>
      <w:r>
        <w:t xml:space="preserve">reassigning beats between records; the twelfth is PTB-XL. The combined</w:t>
      </w:r>
      <w:r>
        <w:t xml:space="preserve"> </w:t>
      </w:r>
      <w:r>
        <w:t xml:space="preserve">correlation is therefore driven by the internal gradient, which is an</w:t>
      </w:r>
      <w:r>
        <w:t xml:space="preserve"> </w:t>
      </w:r>
      <w:r>
        <w:t xml:space="preserve">intervention rather than an observation of naturally differing cohorts. PTB-XL</w:t>
      </w:r>
      <w:r>
        <w:t xml:space="preserve"> </w:t>
      </w:r>
      <w:r>
        <w:t xml:space="preserve">serves as a prediction check — a different modality, task and block type that</w:t>
      </w:r>
      <w:r>
        <w:t xml:space="preserve"> </w:t>
      </w:r>
      <w:r>
        <w:t xml:space="preserve">lands where the design effect predicts — and we claim no more than that.</w:t>
      </w:r>
    </w:p>
    <w:p>
      <w:pPr>
        <w:pStyle w:val="BodyText"/>
        <w:jc w:val="both"/>
      </w:pPr>
      <w:r>
        <w:rPr>
          <w:b/>
          <w:bCs/>
        </w:rPr>
        <w:t xml:space="preserve">Fixed evaluation subjects.</w:t>
      </w:r>
      <w:r>
        <w:t xml:space="preserve"> </w:t>
      </w:r>
      <w:r>
        <w:t xml:space="preserve">All MIT-BIH intervals derive from repeated splits</w:t>
      </w:r>
      <w:r>
        <w:t xml:space="preserve"> </w:t>
      </w:r>
      <w:r>
        <w:t xml:space="preserve">of the same 22 DS2 records. They quantify variability across splits, not across</w:t>
      </w:r>
      <w:r>
        <w:t xml:space="preserve"> </w:t>
      </w:r>
      <w:r>
        <w:t xml:space="preserve">the population of patients.</w:t>
      </w:r>
    </w:p>
    <w:p>
      <w:pPr>
        <w:pStyle w:val="BodyText"/>
        <w:jc w:val="both"/>
      </w:pPr>
      <w:r>
        <w:rPr>
          <w:b/>
          <w:bCs/>
        </w:rPr>
        <w:t xml:space="preserve">Domain.</w:t>
      </w:r>
      <w:r>
        <w:t xml:space="preserve"> </w:t>
      </w:r>
      <w:r>
        <w:t xml:space="preserve">All results concern ECG. Other clinical signals with repeated</w:t>
      </w:r>
      <w:r>
        <w:t xml:space="preserve"> </w:t>
      </w:r>
      <w:r>
        <w:t xml:space="preserve">measurements are plausible candidates for the same analysis but are not</w:t>
      </w:r>
      <w:r>
        <w:t xml:space="preserve"> </w:t>
      </w:r>
      <w:r>
        <w:t xml:space="preserve">examined.</w:t>
      </w:r>
    </w:p>
    <w:bookmarkEnd w:id="79"/>
    <w:bookmarkStart w:id="80" w:name="statistical-conclusion-validity"/>
    <w:p>
      <w:pPr>
        <w:pStyle w:val="Heading2"/>
      </w:pPr>
      <w:r>
        <w:t xml:space="preserve">10.4 Statistical conclusion validity</w:t>
      </w:r>
    </w:p>
    <w:p>
      <w:pPr>
        <w:pStyle w:val="FirstParagraph"/>
        <w:jc w:val="both"/>
      </w:pPr>
      <w:r>
        <w:rPr>
          <w:b/>
          <w:bCs/>
        </w:rPr>
        <w:t xml:space="preserve">Per-configuration deficits.</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VII), and every per-point interval in the dose–response</w:t>
      </w:r>
      <w:r>
        <w:t xml:space="preserve"> </w:t>
      </w:r>
      <w:r>
        <w:t xml:space="preserve">analysis contains zero. The evidence rests on the comparison with a permutation</w:t>
      </w:r>
      <w:r>
        <w:t xml:space="preserve"> </w:t>
      </w:r>
      <w:r>
        <w:t xml:space="preserve">null and on the monotone trend, which are what the pre-registered tests address.</w:t>
      </w:r>
    </w:p>
    <w:p>
      <w:pPr>
        <w:pStyle w:val="BodyText"/>
        <w:jc w:val="both"/>
      </w:pPr>
      <w:r>
        <w:rPr>
          <w:b/>
          <w:bCs/>
        </w:rPr>
        <w:t xml:space="preserve">Strength across backbones.</w:t>
      </w:r>
      <w:r>
        <w:t xml:space="preserve"> </w:t>
      </w:r>
      <w:r>
        <w:t xml:space="preserve">After Holm correction the deficit against the</w:t>
      </w:r>
      <w:r>
        <w:t xml:space="preserve"> </w:t>
      </w:r>
      <w:r>
        <w:t xml:space="preserve">permutation null is significant at every level for two of three backbones and at</w:t>
      </w:r>
      <w:r>
        <w:t xml:space="preserve"> </w:t>
      </w:r>
      <w:r>
        <w:t xml:space="preserve">none for ResNet1D-34 (Table VIII). The pre-registered criterion fails for that</w:t>
      </w:r>
      <w:r>
        <w:t xml:space="preserve"> </w:t>
      </w:r>
      <w:r>
        <w:t xml:space="preserve">backbone, and we claim invariance of direction only.</w:t>
      </w:r>
    </w:p>
    <w:p>
      <w:pPr>
        <w:pStyle w:val="BodyText"/>
        <w:jc w:val="both"/>
      </w:pPr>
      <w:r>
        <w:rPr>
          <w:b/>
          <w:bCs/>
        </w:rPr>
        <w:t xml:space="preserve">Coverage and set size.</w:t>
      </w:r>
      <w:r>
        <w:t xml:space="preserve"> </w:t>
      </w:r>
      <w:r>
        <w:t xml:space="preserve">Coverage alone overstates HCP: at</w:t>
      </w:r>
      <w:r>
        <w:t xml:space="preserve"> </w:t>
      </w:r>
      <m:oMath>
        <m:r>
          <m:t>α</m:t>
        </m:r>
        <m:r>
          <m:rPr>
            <m:sty m:val="p"/>
          </m:rPr>
          <m:t>=</m:t>
        </m:r>
        <m:r>
          <m:t>0.10</m:t>
        </m:r>
      </m:oMath>
      <w:r>
        <w:t xml:space="preserve"> </w:t>
      </w:r>
      <w:r>
        <w:t xml:space="preserve">on</w:t>
      </w:r>
      <w:r>
        <w:t xml:space="preserve"> </w:t>
      </w:r>
      <w:r>
        <w:t xml:space="preserve">MIT-BIH its coverage of 0.9615 is obtained with 2.43 of 5 labels per beat, and</w:t>
      </w:r>
      <w:r>
        <w:t xml:space="preserve"> </w:t>
      </w:r>
      <w:r>
        <w:t xml:space="preserve">below</w:t>
      </w:r>
      <w:r>
        <w:t xml:space="preserve"> </w:t>
      </w:r>
      <m:oMath>
        <m:sSub>
          <m:e>
            <m:r>
              <m:t>α</m:t>
            </m:r>
          </m:e>
          <m:sub>
            <m:r>
              <m:rPr>
                <m:sty m:val="p"/>
              </m:rPr>
              <m:t>min</m:t>
            </m:r>
          </m:sub>
        </m:sSub>
      </m:oMath>
      <w:r>
        <w:t xml:space="preserve"> </w:t>
      </w:r>
      <w:r>
        <w:t xml:space="preserve">it covers by abstaining. We report both quantities</w:t>
      </w:r>
      <w:r>
        <w:t xml:space="preserve"> </w:t>
      </w:r>
      <w:r>
        <w:t xml:space="preserve">throughout.</w:t>
      </w:r>
    </w:p>
    <w:p>
      <w:pPr>
        <w:pStyle w:val="BodyText"/>
        <w:jc w:val="both"/>
      </w:pPr>
      <w:r>
        <w:rPr>
          <w:b/>
          <w:bCs/>
        </w:rPr>
        <w:t xml:space="preserve">Withdrawn and replaced criteria.</w:t>
      </w:r>
      <w:r>
        <w:t xml:space="preserve"> </w:t>
      </w:r>
      <w:r>
        <w:t xml:space="preserve">Two pre-registered criteria did not survive.</w:t>
      </w:r>
      <w:r>
        <w:t xml:space="preserve"> </w:t>
      </w:r>
      <w:r>
        <w:t xml:space="preserve">The comparison</w:t>
      </w:r>
      <w:r>
        <w:t xml:space="preserve"> </w:t>
      </w:r>
      <w:r>
        <w:t xml:space="preserve">“HCP covers better than split conformal”</w:t>
      </w:r>
      <w:r>
        <w:t xml:space="preserve"> </w:t>
      </w:r>
      <w:r>
        <w:t xml:space="preserve">was withdrawn because</w:t>
      </w:r>
      <w:r>
        <w:t xml:space="preserve"> </w:t>
      </w:r>
      <w:r>
        <w:t xml:space="preserve">the permutation control showed it to be largely mechanical (§8.3). A Spearman</w:t>
      </w:r>
      <w:r>
        <w:t xml:space="preserve"> </w:t>
      </w:r>
      <w:r>
        <w:t xml:space="preserve">test across datasets could not be executed as written, because with two datasets</w:t>
      </w:r>
      <w:r>
        <w:t xml:space="preserve"> </w:t>
      </w:r>
      <w:r>
        <w:t xml:space="preserve">the rank correlation takes only the values</w:t>
      </w:r>
      <w:r>
        <w:t xml:space="preserve"> </w:t>
      </w:r>
      <m:oMath>
        <m:r>
          <m:rPr>
            <m:sty m:val="p"/>
          </m:rPr>
          <m:t>±</m:t>
        </m:r>
        <m:r>
          <m:t>1</m:t>
        </m:r>
      </m:oMath>
      <w:r>
        <w:t xml:space="preserve">; it was replaced by a test over</w:t>
      </w:r>
      <w:r>
        <w:t xml:space="preserve"> </w:t>
      </w:r>
      <w:r>
        <w:t xml:space="preserve">design-effect points within MIT-BIH. Both changes are logged as deviations.</w:t>
      </w:r>
    </w:p>
    <w:bookmarkEnd w:id="80"/>
    <w:bookmarkStart w:id="81" w:name="theoretical-threats"/>
    <w:p>
      <w:pPr>
        <w:pStyle w:val="Heading2"/>
      </w:pPr>
      <w:r>
        <w:t xml:space="preserve">10.5 Theoretical threats</w:t>
      </w:r>
    </w:p>
    <w:p>
      <w:pPr>
        <w:pStyle w:val="FirstParagraph"/>
        <w:jc w:val="both"/>
      </w:pPr>
      <w:r>
        <w:rPr>
          <w:b/>
          <w:bCs/>
        </w:rPr>
        <w:t xml:space="preserve">Assumption (A).</w:t>
      </w:r>
      <w:r>
        <w:t xml:space="preserve"> </w:t>
      </w:r>
      <w:r>
        <w:t xml:space="preserve">The variance (6) and design effects (7) assume a one-way</w:t>
      </w:r>
      <w:r>
        <w:t xml:space="preserve"> </w:t>
      </w:r>
      <w:r>
        <w:t xml:space="preserve">random-effects model with compound symmetry. Proposition 1, Corollary 2.2 and</w:t>
      </w:r>
      <w:r>
        <w:t xml:space="preserve"> </w:t>
      </w:r>
      <w:r>
        <w:t xml:space="preserve">the label-level condition of §5.3 are distribution-free and do not depend on it.</w:t>
      </w:r>
      <w:r>
        <w:t xml:space="preserve"> </w:t>
      </w:r>
      <w:r>
        <w:t xml:space="preserve">Expression (6) concerns the correlation of the coverage indicator rather than of</w:t>
      </w:r>
      <w:r>
        <w:t xml:space="preserve"> </w:t>
      </w:r>
      <w:r>
        <w:t xml:space="preserve">raw scores; recomputing the dose–response analysis with the indicator correlation</w:t>
      </w:r>
      <w:r>
        <w:t xml:space="preserve"> </w:t>
      </w:r>
      <w:r>
        <w:t xml:space="preserve">leaves every Spearman coefficient significant (Table IX). PTB-XL’s correlation</w:t>
      </w:r>
      <w:r>
        <w:t xml:space="preserve"> </w:t>
      </w:r>
      <w:r>
        <w:t xml:space="preserve">falls from 0.35 to 0.19–0.20 under this definition, but its design effect remains</w:t>
      </w:r>
      <w:r>
        <w:t xml:space="preserve"> </w:t>
      </w:r>
      <w:r>
        <w:t xml:space="preserve">near 1.</w:t>
      </w:r>
    </w:p>
    <w:p>
      <w:pPr>
        <w:pStyle w:val="BodyText"/>
        <w:jc w:val="both"/>
      </w:pPr>
      <w:r>
        <w:rPr>
          <w:b/>
          <w:bCs/>
        </w:rPr>
        <w:t xml:space="preserve">Scope of the impossibility result.</w:t>
      </w:r>
      <w:r>
        <w:t xml:space="preserve"> </w:t>
      </w:r>
      <w:r>
        <w:rPr>
          <w:i/>
          <w:iCs/>
        </w:rPr>
        <w:t xml:space="preserve">Corollary 2.2 is proved for the HCP/Dunn</w:t>
      </w:r>
      <w:r>
        <w:rPr>
          <w:i/>
          <w:iCs/>
        </w:rPr>
        <w:t xml:space="preserve"> </w:t>
      </w:r>
      <w:r>
        <w:rPr>
          <w:i/>
          <w:iCs/>
        </w:rPr>
        <w:t xml:space="preserve">family. Whether it holds for every distribution-free method that relies on</w:t>
      </w:r>
      <w:r>
        <w:rPr>
          <w:i/>
          <w:iCs/>
        </w:rPr>
        <w:t xml:space="preserve"> </w:t>
      </w:r>
      <w:r>
        <w:rPr>
          <w:i/>
          <w:iCs/>
        </w:rPr>
        <w:t xml:space="preserve">exchangeability between blocks remains an open question.</w:t>
      </w:r>
      <w:r>
        <w:t xml:space="preserve"> </w:t>
      </w:r>
      <w:r>
        <w:t xml:space="preserve">The collapse of joined</w:t>
      </w:r>
      <w:r>
        <w:t xml:space="preserve"> </w:t>
      </w:r>
      <w:r>
        <w:t xml:space="preserve">partitions into a giant component is itself known [36]. On PTB-XL the verdict is</w:t>
      </w:r>
      <w:r>
        <w:t xml:space="preserve"> </w:t>
      </w:r>
      <w:r>
        <w:t xml:space="preserve">exhaustive only with respect to the declared sources {patient, site, nurse,</w:t>
      </w:r>
      <w:r>
        <w:t xml:space="preserve"> </w:t>
      </w:r>
      <w:r>
        <w:t xml:space="preserve">device}, which cannot be verified from data. Declaring only {patient, site}</w:t>
      </w:r>
      <w:r>
        <w:t xml:space="preserve"> </w:t>
      </w:r>
      <w:r>
        <w:t xml:space="preserve">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w:t>
      </w:r>
      <w:r>
        <w:t xml:space="preserve"> </w:t>
      </w:r>
      <w:r>
        <w:t xml:space="preserve">but 31 of those blocks consist solely of 188 records lacking nurse metadata; on</w:t>
      </w:r>
      <w:r>
        <w:t xml:space="preserve"> </w:t>
      </w:r>
      <w:r>
        <w:t xml:space="preserve">the 1,960 records with complete metadata the same declaration gives</w:t>
      </w:r>
      <w:r>
        <w:t xml:space="preserve"> </w:t>
      </w:r>
      <m:oMath>
        <m:sSub>
          <m:e>
            <m:r>
              <m:t>K</m:t>
            </m:r>
          </m:e>
          <m:sub>
            <m:r>
              <m:t>1</m:t>
            </m:r>
          </m:sub>
        </m:sSub>
        <m:r>
          <m:rPr>
            <m:sty m:val="p"/>
          </m:rPr>
          <m:t>=</m:t>
        </m:r>
        <m:r>
          <m:t>3</m:t>
        </m:r>
      </m:oMath>
      <w:r>
        <w:t xml:space="preserve">. We</w:t>
      </w:r>
      <w:r>
        <w:t xml:space="preserve"> </w:t>
      </w:r>
      <w:r>
        <w:t xml:space="preserve">therefore state the result conditionally:</w:t>
      </w:r>
      <w:r>
        <w:t xml:space="preserve"> </w:t>
      </w:r>
      <w:r>
        <w:rPr>
          <w:i/>
          <w:iCs/>
        </w:rPr>
        <w:t xml:space="preserve">if patient, site, nurse, and device are</w:t>
      </w:r>
      <w:r>
        <w:rPr>
          <w:i/>
          <w:iCs/>
        </w:rPr>
        <w:t xml:space="preserve"> </w:t>
      </w:r>
      <w:r>
        <w:rPr>
          <w:i/>
          <w:iCs/>
        </w:rPr>
        <w:t xml:space="preserve">all treated as dependence sources, no admissible calibration grouping exists at</w:t>
      </w:r>
      <w:r>
        <w:rPr>
          <w:i/>
          <w:iCs/>
        </w:rPr>
        <w:t xml:space="preserve"> </w:t>
      </w:r>
      <w:r>
        <w:rPr>
          <w:i/>
          <w:iCs/>
        </w:rPr>
        <w:t xml:space="preserve">any conventional</w:t>
      </w:r>
      <w:r>
        <w:rPr>
          <w:i/>
          <w:iCs/>
        </w:rPr>
        <w:t xml:space="preserve"> </w:t>
      </w:r>
      <m:oMath>
        <m:r>
          <m:t>α</m:t>
        </m:r>
      </m:oMath>
      <w:r>
        <w:rPr>
          <w:i/>
          <w:iCs/>
        </w:rPr>
        <w:t xml:space="preserve">.</w:t>
      </w:r>
    </w:p>
    <w:bookmarkEnd w:id="81"/>
    <w:bookmarkStart w:id="82" w:name="researcher-degrees-of-freedom"/>
    <w:p>
      <w:pPr>
        <w:pStyle w:val="Heading2"/>
      </w:pPr>
      <w:r>
        <w:t xml:space="preserve">10.6 Researcher degrees of freedom</w:t>
      </w:r>
    </w:p>
    <w:p>
      <w:pPr>
        <w:pStyle w:val="FirstParagraph"/>
        <w:jc w:val="both"/>
      </w:pPr>
      <w:r>
        <w:t xml:space="preserve">Our reading of the MIT-BIH evidence changed three times before stabilising</w:t>
      </w:r>
      <w:r>
        <w:t xml:space="preserve"> </w:t>
      </w:r>
      <w:r>
        <w:t xml:space="preserve">(Table XI). Each change followed the addition of a control, not a</w:t>
      </w:r>
      <w:r>
        <w:t xml:space="preserve"> </w:t>
      </w:r>
      <w:r>
        <w:t xml:space="preserve">reinterpretation of existing data. The second stage was our own error: it</w:t>
      </w:r>
      <w:r>
        <w:t xml:space="preserve"> </w:t>
      </w:r>
      <w:r>
        <w:t xml:space="preserve">compared analyses with different calibration sizes (about 24,800 against 16,500</w:t>
      </w:r>
      <w:r>
        <w:t xml:space="preserve"> </w:t>
      </w:r>
      <w:r>
        <w:t xml:space="preserve">beats) and attributed the difference to block balance.</w:t>
      </w:r>
    </w:p>
    <w:p>
      <w:pPr>
        <w:pStyle w:val="BodyText"/>
        <w:keepNext/>
        <w:spacing w:before="160"/>
        <w:jc w:val="center"/>
      </w:pPr>
      <w:r/>
      <w:r>
        <w:rPr>
          <w:sz w:val="18"/>
        </w:rPr>
        <w:t>TABLE XI</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Stage</w:t>
            </w:r>
          </w:p>
        </w:tc>
        <w:tc>
          <w:tcPr/>
          <w:p>
            <w:pPr>
              <w:pStyle w:val="Compact"/>
            </w:pPr>
            <w:r>
              <w:rPr>
                <w:b/>
                <w:sz w:val="17"/>
              </w:rPr>
              <w:t xml:space="preserve">Interim conclusion</w:t>
            </w:r>
          </w:p>
        </w:tc>
        <w:tc>
          <w:tcPr/>
          <w:p>
            <w:pPr>
              <w:pStyle w:val="Compact"/>
            </w:pPr>
            <w:r>
              <w:rPr>
                <w:b/>
                <w:sz w:val="17"/>
              </w:rPr>
              <w:t xml:space="preserve">Overturned by</w:t>
            </w:r>
          </w:p>
        </w:tc>
      </w:tr>
      <w:tr>
        <w:tc>
          <w:tcPr/>
          <w:p>
            <w:pPr>
              <w:pStyle w:val="Compact"/>
            </w:pPr>
            <w:r>
              <w:rPr>
                <w:sz w:val="17"/>
              </w:rPr>
              <w:t xml:space="preserve">1</w:t>
            </w:r>
          </w:p>
        </w:tc>
        <w:tc>
          <w:tcPr/>
          <w:p>
            <w:pPr>
              <w:pStyle w:val="Compact"/>
            </w:pPr>
            <w:r>
              <w:rPr>
                <w:sz w:val="17"/>
              </w:rPr>
              <w:t xml:space="preserve">HCP improves on naive split conformal</w:t>
            </w:r>
          </w:p>
        </w:tc>
        <w:tc>
          <w:tcPr/>
          <w:p>
            <w:pPr>
              <w:pStyle w:val="Compact"/>
            </w:pPr>
            <w:r>
              <w:rPr>
                <w:sz w:val="17"/>
              </w:rPr>
              <w:t xml:space="preserve">Permutation control: 81–107% of the gap is mechanical</w:t>
            </w:r>
          </w:p>
        </w:tc>
      </w:tr>
      <w:tr>
        <w:tc>
          <w:tcPr/>
          <w:p>
            <w:pPr>
              <w:pStyle w:val="Compact"/>
            </w:pPr>
            <w:r>
              <w:rPr>
                <w:sz w:val="17"/>
              </w:rPr>
              <w:t xml:space="preserve">2</w:t>
            </w:r>
          </w:p>
        </w:tc>
        <w:tc>
          <w:tcPr/>
          <w:p>
            <w:pPr>
              <w:pStyle w:val="Compact"/>
            </w:pPr>
            <w:r>
              <w:rPr>
                <w:sz w:val="17"/>
              </w:rPr>
              <w:t xml:space="preserve">The deficit is driven by block-size imbalance</w:t>
            </w:r>
          </w:p>
        </w:tc>
        <w:tc>
          <w:tcPr/>
          <w:p>
            <w:pPr>
              <w:pStyle w:val="Compact"/>
            </w:pPr>
            <w:r>
              <w:rPr>
                <w:sz w:val="17"/>
              </w:rPr>
              <w:t xml:space="preserve">2×2 factorial: imbalance significant at 0/3 levels, clustering at 3/3</w:t>
            </w:r>
          </w:p>
        </w:tc>
      </w:tr>
      <w:tr>
        <w:tc>
          <w:tcPr/>
          <w:p>
            <w:pPr>
              <w:pStyle w:val="Compact"/>
            </w:pPr>
            <w:r>
              <w:rPr>
                <w:sz w:val="17"/>
              </w:rPr>
              <w:t xml:space="preserve">3</w:t>
            </w:r>
          </w:p>
        </w:tc>
        <w:tc>
          <w:tcPr/>
          <w:p>
            <w:pPr>
              <w:pStyle w:val="Compact"/>
            </w:pPr>
            <w:r>
              <w:rPr>
                <w:sz w:val="17"/>
              </w:rPr>
              <w:t xml:space="preserve">The deficit increases monotonically with ICC</w:t>
            </w:r>
          </w:p>
        </w:tc>
        <w:tc>
          <w:tcPr/>
          <w:p>
            <w:pPr>
              <w:pStyle w:val="Compac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p>
      <w:pPr>
        <w:pStyle w:val="BodyText"/>
        <w:jc w:val="both"/>
      </w:pPr>
      <w:r>
        <w:t xml:space="preserve">Three analyses were added or changed after results were seen, and each tightened</w:t>
      </w:r>
      <w:r>
        <w:t xml:space="preserve"> </w:t>
      </w:r>
      <w:r>
        <w:t xml:space="preserve">rather than relaxed the evidence: the permutation control, which invalidated a</w:t>
      </w:r>
      <w:r>
        <w:t xml:space="preserve"> </w:t>
      </w:r>
      <w:r>
        <w:t xml:space="preserve">criterion that had favoured our hypothesis; the Holm correction, which the frozen</w:t>
      </w:r>
      <w:r>
        <w:t xml:space="preserve"> </w:t>
      </w:r>
      <w:r>
        <w:t xml:space="preserve">analysis plan required but which had not been applied, and which removed the one</w:t>
      </w:r>
      <w:r>
        <w:t xml:space="preserve"> </w:t>
      </w:r>
      <w:r>
        <w:t xml:space="preserve">remaining significant level for ResNet1D-34; and the choice of reporting axis,</w:t>
      </w:r>
      <w:r>
        <w:t xml:space="preserve"> </w:t>
      </w:r>
      <w:r>
        <w:t xml:space="preserve">adopted after ICC failed to unify the two datasets. For the last,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part of our theoretical notes before the data were collected,</w:t>
      </w:r>
      <w:r>
        <w:t xml:space="preserve"> </w:t>
      </w:r>
      <w:r>
        <w:t xml:space="preserve">and</w:t>
      </w:r>
      <w:r>
        <w:t xml:space="preserve"> </w:t>
      </w:r>
      <m:oMath>
        <m:r>
          <m:t>H</m:t>
        </m:r>
      </m:oMath>
      <w:r>
        <w:t xml:space="preserve"> </w:t>
      </w:r>
      <w:r>
        <w:t xml:space="preserve">follows from (6) rather than being chosen; the decision to report on that</w:t>
      </w:r>
      <w:r>
        <w:t xml:space="preserve"> </w:t>
      </w:r>
      <w:r>
        <w:t xml:space="preserve">axis was nonetheless made with the results in view. A complete deviation log</w:t>
      </w:r>
      <w:r>
        <w:t xml:space="preserve"> </w:t>
      </w:r>
      <w:r>
        <w:t xml:space="preserve">accompanies the protocol.</w:t>
      </w:r>
    </w:p>
    <w:bookmarkEnd w:id="82"/>
    <w:bookmarkEnd w:id="83"/>
    <w:bookmarkStart w:id="84" w:name="conclusion"/>
    <w:p>
      <w:pPr>
        <w:pStyle w:val="Heading1"/>
      </w:pPr>
      <w:r>
        <w:t xml:space="preserve">11. Conclusion</w:t>
      </w:r>
    </w:p>
    <w:p>
      <w:pPr>
        <w:pStyle w:val="FirstParagraph"/>
        <w:jc w:val="both"/>
      </w:pPr>
      <w:r>
        <w:t xml:space="preserve">A distribution-free coverage guarantee on clinical ECG data is a property of the</w:t>
      </w:r>
      <w:r>
        <w:t xml:space="preserve"> </w:t>
      </w:r>
      <w:r>
        <w:t xml:space="preserve">study design before it is a property of the model. Whether hierarchical conformal</w:t>
      </w:r>
      <w:r>
        <w:t xml:space="preserve"> </w:t>
      </w:r>
      <w:r>
        <w:t xml:space="preserve">calibration can deliver one at a given error rate is decided by the number of</w:t>
      </w:r>
      <w:r>
        <w:t xml:space="preserve"> </w:t>
      </w:r>
      <w:r>
        <w:t xml:space="preserve">calibration blocks that respect every declared dependence source, and that number</w:t>
      </w:r>
      <w:r>
        <w:t xml:space="preserve"> </w:t>
      </w:r>
      <w:r>
        <w:t xml:space="preserve">can be computed from metadata before a single patient is enrolled. On public</w:t>
      </w:r>
      <w:r>
        <w:t xml:space="preserve"> </w:t>
      </w:r>
      <w:r>
        <w:t xml:space="preserve">resources it is often smaller than the size of the data suggests, and smallest</w:t>
      </w:r>
      <w:r>
        <w:t xml:space="preserve"> </w:t>
      </w:r>
      <w:r>
        <w:t xml:space="preserve">for the rare diagnoses where calibrated uncertainty would matter most. Whether</w:t>
      </w:r>
      <w:r>
        <w:t xml:space="preserve"> </w:t>
      </w:r>
      <w:r>
        <w:t xml:space="preserve">ignoring the block structure costs coverage is a separate question, answered by</w:t>
      </w:r>
      <w:r>
        <w:t xml:space="preserve"> </w:t>
      </w:r>
      <w:r>
        <w:t xml:space="preserve">how much repetition the blocks contain rather than by how correlated they are.</w:t>
      </w:r>
      <w:r>
        <w:t xml:space="preserve"> </w:t>
      </w:r>
      <w:r>
        <w:t xml:space="preserve">Evaluations of hierarchical conformal methods should compare against a null that</w:t>
      </w:r>
      <w:r>
        <w:t xml:space="preserve"> </w:t>
      </w:r>
      <w:r>
        <w:t xml:space="preserve">removes dependence while preserving block geometry, and should report set size</w:t>
      </w:r>
      <w:r>
        <w:t xml:space="preserve"> </w:t>
      </w:r>
      <w:r>
        <w:t xml:space="preserve">alongside coverage. We recommend that clinical studies claiming conformal</w:t>
      </w:r>
      <w:r>
        <w:t xml:space="preserve"> </w:t>
      </w:r>
      <w:r>
        <w:t xml:space="preserve">guarantees report the number of calibration blocks, per label where labels are</w:t>
      </w:r>
      <w:r>
        <w:t xml:space="preserve"> </w:t>
      </w:r>
      <w:r>
        <w:t xml:space="preserve">conditioned on, together with the dependence sources they declared.</w:t>
      </w:r>
    </w:p>
    <w:bookmarkEnd w:id="84"/>
    <w:bookmarkStart w:id="8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[9]</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[10]</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[11]</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[12]</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[13]</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[14]</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[15]</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[16]</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[17]</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[18]</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[19]</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[20]</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[21]</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[22]</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[23]</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[24]</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[25]</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[30]</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[31]</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[32]</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[33]</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[34]</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[35]</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[36]</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[37]</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[38]</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
        <w:rPr>
          <w:sz w:val="18"/>
        </w:rPr>
        <w:t>[39]</w:t>
        <w:tab/>
      </w:r>
      <w:r>
        <w:rPr>
          <w:i w:val="0"/>
          <w:sz w:val="18"/>
        </w:rPr>
        <w:t>M. A. Shahbazi, A. Baheri, and N. Azadeh-Fard, “Adaptive Conformal Prediction via Bayesian Uncertainty Weighting for Hierarchical Healthcare Data,” arXiv:2601.01223, Jan. 2026.</w:t>
      </w:r>
    </w:p>
    <w:p>
      <w:pPr>
        <w:pStyle w:val="BodyText"/>
        <w:tabs>
          <w:tab w:pos="440" w:val="left"/>
        </w:tabs>
        <w:spacing w:after="40"/>
        <w:ind w:left="440" w:hanging="440"/>
        <w:jc w:val="both"/>
      </w:pPr>
      <w:r/>
      <w:r/>
      <w:r/>
      <w:r/>
      <w:r>
        <w:rPr>
          <w:i/>
          <w:iCs/>
        </w:rPr>
      </w:r>
      <w:r/>
      <w:r>
        <w:rPr>
          <w:sz w:val="18"/>
        </w:rPr>
        <w:t>[40]</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[41]</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[42]</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[43]</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49" Type="http://schemas.openxmlformats.org/officeDocument/2006/relationships/image" Target="media/rId4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2026-10-02T13:20:30Z</dcterms:created>
  <dcterms:modified xsi:type="dcterms:W3CDTF">2026-10-02T13:20:30Z</dcterms:modified>
</cp:coreProperties>
</file>

<file path=docProps/custom.xml><?xml version="1.0" encoding="utf-8"?>
<Properties xmlns="http://schemas.openxmlformats.org/officeDocument/2006/custom-properties" xmlns:vt="http://schemas.openxmlformats.org/officeDocument/2006/docPropsVTypes"/>
</file>