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2a75719.</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and Sim</w:t>
      </w:r>
      <w:r>
        <w:t xml:space="preserve"> </w:t>
      </w:r>
      <w:r>
        <w:t xml:space="preserve">and Kim showed for ECG monitoring that the false-alarm guarantee of split</w:t>
      </w:r>
      <w:r>
        <w:t xml:space="preserve"> </w:t>
      </w:r>
      <w:r>
        <w:t xml:space="preserve">conformal prediction scales with subjects, not beats [10].</w:t>
      </w:r>
    </w:p>
    <w:p>
      <w:pPr>
        <w:pStyle w:val="BodyText"/>
        <w:jc w:val="both"/>
      </w:pPr>
      <w:r>
        <w:t xml:space="preserve">Whether the guarantee is attainable under the dependence structure of real</w:t>
      </w:r>
      <w:r>
        <w:t xml:space="preserve"> </w:t>
      </w:r>
      <w:r>
        <w:t xml:space="preserve">clinical resources, where sources can be crossed and coverage may be required per</w:t>
      </w:r>
      <w:r>
        <w:t xml:space="preserve"> </w:t>
      </w:r>
      <w:r>
        <w:t xml:space="preserve">diagnosis, remains insufficiently characterized. We address this design-stage</w:t>
      </w:r>
      <w:r>
        <w:t xml:space="preserve"> </w:t>
      </w:r>
      <w:r>
        <w:t xml:space="preserve">question by auditing three public ECG resources: PTB-XL [2], [14], in which</w:t>
      </w:r>
      <w:r>
        <w:t xml:space="preserve"> </w:t>
      </w:r>
      <w:r>
        <w:t xml:space="preserve">18,869 patients contribute 1.16 records on average; the MIT-BIH Arrhythmia</w:t>
      </w:r>
      <w:r>
        <w:t xml:space="preserve"> </w:t>
      </w:r>
      <w:r>
        <w:t xml:space="preserve">Database [15], in which each of 44 subjects contributes more than 1,500 beats;</w:t>
      </w:r>
      <w:r>
        <w:t xml:space="preserve"> </w:t>
      </w:r>
      <w:r>
        <w:t xml:space="preserve">and the PhysioNet/CinC Challenge 2021 collection [16], which does not document a</w:t>
      </w:r>
      <w:r>
        <w:t xml:space="preserve"> </w:t>
      </w:r>
      <w:r>
        <w:t xml:space="preserve">block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give a metadata-only feasibility audit (RQ1; §3, §5.1). Combined with the join</w:t>
      </w:r>
      <w:r>
        <w:t xml:space="preserve"> </w:t>
      </w:r>
      <w:r>
        <w:t xml:space="preserve">of the declared dependence sources, the HCP bound yields exact verdicts before</w:t>
      </w:r>
      <w:r>
        <w:t xml:space="preserve"> </w:t>
      </w:r>
      <w:r>
        <w:t xml:space="preserve">any model is trained: all four documented PTB-XL sources together leave one</w:t>
      </w:r>
      <w:r>
        <w:t xml:space="preserve"> </w:t>
      </w:r>
      <w:r>
        <w:t xml:space="preserve">admissible calibration block, 24 of 44 SCP statements have no finite per-label</w:t>
      </w:r>
      <w:r>
        <w:t xml:space="preserve"> </w:t>
      </w:r>
      <w:r>
        <w:t xml:space="preserve">threshold at</w:t>
      </w:r>
      <w:r>
        <w:t xml:space="preserve"> </w:t>
      </w:r>
      <m:oMath>
        <m:r>
          <m:t>α</m:t>
        </m:r>
        <m:r>
          <m:rPr>
            <m:sty m:val="p"/>
          </m:rPr>
          <m:t>=</m:t>
        </m:r>
        <m:r>
          <m:t>0.05</m:t>
        </m:r>
      </m:oMath>
      <w:r>
        <w:t xml:space="preserve"> </w:t>
      </w:r>
      <w:r>
        <w:t xml:space="preserve">under patient blocking, and an even split of the 22</w:t>
      </w:r>
      <w:r>
        <w:t xml:space="preserve"> </w:t>
      </w:r>
      <w:r>
        <w:t xml:space="preserve">MIT-BIH evaluation subjects rules out a subject-level guarantee at the 95% level.</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a</w:t>
      </w:r>
      <w:r>
        <w:t xml:space="preserve"> </w:t>
      </w:r>
      <w:r>
        <w:t xml:space="preserve">factorial design traces the shortfall mainly to clustering, amplified by</w:t>
      </w:r>
      <w:r>
        <w:t xml:space="preserve"> </w:t>
      </w:r>
      <w:r>
        <w:t xml:space="preserve">block-size imbalance, and a dose–response experiment shows it growing with the</w:t>
      </w:r>
      <w:r>
        <w:t xml:space="preserve"> </w:t>
      </w:r>
      <w:r>
        <w:t xml:space="preserve">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apparent gain of HCP</w:t>
      </w:r>
      <w:r>
        <w:t xml:space="preserve"> </w:t>
      </w:r>
      <w:r>
        <w:t xml:space="preserve">over naive split conformal survives when dependence is permuted away, so the</w:t>
      </w:r>
      <w:r>
        <w:t xml:space="preserve"> </w:t>
      </w:r>
      <w:r>
        <w:t xml:space="preserve">gain is largely mechanical;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 Barber consider</w:t>
      </w:r>
      <w:r>
        <w:t xml:space="preserve"> </w:t>
      </w:r>
      <w:r>
        <w:t xml:space="preserve">groups whose membership drives the shift [20], so exchangeability still holds</w:t>
      </w:r>
      <w:r>
        <w:t xml:space="preserve"> </w:t>
      </w:r>
      <w:r>
        <w:t xml:space="preserve">within each group; our setting is the reverse, with stable group proportions but</w:t>
      </w:r>
      <w:r>
        <w:t xml:space="preserve"> </w:t>
      </w:r>
      <w:r>
        <w:t xml:space="preserve">non-exchangeable observations within a block. Fontana et al. review the framework</w:t>
      </w:r>
      <w:r>
        <w:t xml:space="preserve"> </w:t>
      </w:r>
      <w:r>
        <w:t xml:space="preserve">and its variants, Mondrian conformal prediction included [5].</w:t>
      </w:r>
    </w:p>
    <w:p>
      <w:pPr>
        <w:pStyle w:val="BodyText"/>
        <w:jc w:val="both"/>
      </w:pPr>
      <w:r>
        <w:t xml:space="preserve">For repeated measurements, Lee et al. formalized hierarchical exchangeability and</w:t>
      </w:r>
      <w:r>
        <w:t xml:space="preserve"> </w:t>
      </w:r>
      <w:r>
        <w:t xml:space="preserve">extended conformal prediction to it [12]; (1) and (2)</w:t>
      </w:r>
      <w:r>
        <w:t xml:space="preserve"> </w:t>
      </w:r>
      <w:r>
        <w:t xml:space="preserve">restate their threshold and guarantee, and four two-layer hierarchical</w:t>
      </w:r>
      <w:r>
        <w:t xml:space="preserve"> </w:t>
      </w:r>
      <w:r>
        <w:t xml:space="preserve">constructions were developed independently by Dunn et al. [13]. We take these results as</w:t>
      </w:r>
      <w:r>
        <w:t xml:space="preserve"> </w:t>
      </w:r>
      <w:r>
        <w:t xml:space="preserve">given. Both lines of work are theoretical and evaluated on regression, [12] on</w:t>
      </w:r>
      <w:r>
        <w:t xml:space="preserve"> </w:t>
      </w:r>
      <w:r>
        <w:t xml:space="preserve">simulated data and a Lorenz-96 system, and neither addresses the question an</w:t>
      </w:r>
      <w:r>
        <w:t xml:space="preserve"> </w:t>
      </w:r>
      <w:r>
        <w:t xml:space="preserve">applied study meets first: for a given clinical dataset and error rate, which</w:t>
      </w:r>
      <w:r>
        <w:t xml:space="preserve"> </w:t>
      </w:r>
      <w:r>
        <w:t xml:space="preserve">grouping, if any, lets the guarantee be enforced? Lee et al. approach it when</w:t>
      </w:r>
      <w:r>
        <w:t xml:space="preserve"> </w:t>
      </w:r>
      <w:r>
        <w:t xml:space="preserve">they note that an analyst may trade many small groups against few large ones,</w:t>
      </w:r>
      <w:r>
        <w:t xml:space="preserve"> </w:t>
      </w:r>
      <w:r>
        <w:t xml:space="preserve">adding that</w:t>
      </w:r>
      <w:r>
        <w:t xml:space="preserve"> </w:t>
      </w:r>
      <w:r>
        <w:rPr>
          <w:i/>
          <w:iCs/>
        </w:rPr>
        <w:t xml:space="preserve">characterizing the pros and cons of this tradeoff is an important</w:t>
      </w:r>
      <w:r>
        <w:rPr>
          <w:i/>
          <w:iCs/>
        </w:rPr>
        <w:t xml:space="preserve"> </w:t>
      </w:r>
      <w:r>
        <w:rPr>
          <w:i/>
          <w:iCs/>
        </w:rPr>
        <w:t xml:space="preserve">question to determine how study design affects inference in this</w:t>
      </w:r>
      <w:r>
        <w:rPr>
          <w:i/>
          <w:iCs/>
        </w:rPr>
        <w:t xml:space="preserve"> </w:t>
      </w:r>
      <w:r>
        <w:rPr>
          <w:i/>
          <w:iCs/>
        </w:rPr>
        <w:t xml:space="preserve">distribution-free setting</w:t>
      </w:r>
      <w:r>
        <w:t xml:space="preserve"> </w:t>
      </w:r>
      <w:r>
        <w:t xml:space="preserve">[12]. We take up its most elementary part, whether a</w:t>
      </w:r>
      <w:r>
        <w:t xml:space="preserve"> </w:t>
      </w:r>
      <w:r>
        <w:t xml:space="preserve">design admits a finite threshold at all, and then measure what happens on</w:t>
      </w:r>
      <w:r>
        <w:t xml:space="preserve"> </w:t>
      </w:r>
      <w:r>
        <w:t xml:space="preserve">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[21],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[22],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[23], [24], since mixing them inflates reported</w:t>
      </w:r>
      <w:r>
        <w:t xml:space="preserve"> </w:t>
      </w:r>
      <w:r>
        <w:t xml:space="preserve">performance [25]. Clinical uses of conformal prediction are surveyed in [6], and</w:t>
      </w:r>
      <w:r>
        <w:t xml:space="preserve"> </w:t>
      </w:r>
      <w:r>
        <w:t xml:space="preserve">conformal risk control [26] and time-series conformal prediction [27] extend the</w:t>
      </w:r>
      <w:r>
        <w:t xml:space="preserve"> </w:t>
      </w:r>
      <w:r>
        <w:t xml:space="preserve">framework to arbitrary losses and temporal data.</w:t>
      </w:r>
    </w:p>
    <w:p>
      <w:pPr>
        <w:pStyle w:val="BodyText"/>
        <w:jc w:val="both"/>
      </w:pPr>
      <w:r>
        <w:t xml:space="preserve">Several cardiac studies come closer to our question.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 arrhythmia classification in intensive care, Kinalioğlu finds</w:t>
      </w:r>
      <w:r>
        <w:t xml:space="preserve"> </w:t>
      </w:r>
      <w:r>
        <w:t xml:space="preserve">that marginal coverage can hide class- and patient-level failures [9]. Closest to</w:t>
      </w:r>
      <w:r>
        <w:t xml:space="preserve"> </w:t>
      </w:r>
      <w:r>
        <w:t xml:space="preserve">our work, Sim and Kim show that the false-alarm guarantee of split conformal</w:t>
      </w:r>
      <w:r>
        <w:t xml:space="preserve"> </w:t>
      </w:r>
      <w:r>
        <w:t xml:space="preserve">prediction in ECG monitoring is governed by the number of exchangeable subjects,</w:t>
      </w:r>
      <w:r>
        <w:t xml:space="preserve"> </w:t>
      </w:r>
      <w:r>
        <w:t xml:space="preserve">not beats, so that too few calibration subjects raise the realized false-alarm</w:t>
      </w:r>
      <w:r>
        <w:t xml:space="preserve"> </w:t>
      </w:r>
      <w:r>
        <w:t xml:space="preserve">rate [10]. Beyond cardiology, calibration that respects groups has been used for</w:t>
      </w:r>
      <w:r>
        <w:t xml:space="preserve"> </w:t>
      </w:r>
      <w:r>
        <w:t xml:space="preserve">patients nested in thousands of hospitals [28].</w:t>
      </w:r>
    </w:p>
    <w:p>
      <w:pPr>
        <w:pStyle w:val="BodyText"/>
        <w:jc w:val="both"/>
      </w:pPr>
      <w:r>
        <w:rPr>
          <w:b/>
          <w:bCs/>
        </w:rPr>
        <w:t xml:space="preserve">Position of this study.</w:t>
      </w:r>
      <w:r>
        <w:t xml:space="preserve"> </w:t>
      </w:r>
      <w:r>
        <w:t xml:space="preserve">These studies ask whether a procedure reaches its</w:t>
      </w:r>
      <w:r>
        <w:t xml:space="preserve"> </w:t>
      </w:r>
      <w:r>
        <w:t xml:space="preserve">target on a given split. We ask two prior questions, whether a block-level</w:t>
      </w:r>
      <w:r>
        <w:t xml:space="preserve"> </w:t>
      </w:r>
      <w:r>
        <w:t xml:space="preserve">guarantee is feasible once every declared dependence source is respected, and</w:t>
      </w:r>
      <w:r>
        <w:t xml:space="preserve"> </w:t>
      </w:r>
      <w:r>
        <w:t xml:space="preserve">whether ignoring block structure costs coverage once the mechanical effect of the</w:t>
      </w:r>
      <w:r>
        <w:t xml:space="preserve"> </w:t>
      </w:r>
      <w:r>
        <w:t xml:space="preserve">finite-block correction is removed. Relative to Lee et al. [12], whose threshold</w:t>
      </w:r>
      <w:r>
        <w:t xml:space="preserve"> </w:t>
      </w:r>
      <w:r>
        <w:t xml:space="preserve">and guarantee we take as given, the additions are the join of crossed sources as</w:t>
      </w:r>
      <w:r>
        <w:t xml:space="preserve"> </w:t>
      </w:r>
      <w:r>
        <w:t xml:space="preserve">the finest admissible grouping, the per-label block count, their evaluation from</w:t>
      </w:r>
      <w:r>
        <w:t xml:space="preserve"> </w:t>
      </w:r>
      <w:r>
        <w:t xml:space="preserve">metadata alone, and an empirical decomposition of the coverage gap with a</w:t>
      </w:r>
      <w:r>
        <w:t xml:space="preserve"> </w:t>
      </w:r>
      <w:r>
        <w:t xml:space="preserve">matched permutation null and a factorial design.</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For a test point from a new block, Lee et al.</w:t>
      </w:r>
      <w:r>
        <w:t xml:space="preserve"> </w:t>
      </w:r>
      <w:r>
        <w:t xml:space="preserve">[12, Th. 1] 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recasts a consequence of the</w:t>
      </w:r>
      <w:r>
        <w:t xml:space="preserve"> </w:t>
      </w:r>
      <m:oMath>
        <m:r>
          <m:rPr>
            <m:sty m:val="p"/>
          </m:rPr>
          <m:t>+</m:t>
        </m:r>
        <m:r>
          <m:rPr>
            <m:sty m:val="p"/>
          </m:rPr>
          <m:t>∞</m:t>
        </m:r>
      </m:oMath>
      <w:r>
        <w:t xml:space="preserve"> </w:t>
      </w:r>
      <w:r>
        <w:t xml:space="preserve">atom in Theorem 1</w:t>
      </w:r>
      <w:r>
        <w:t xml:space="preserve"> </w:t>
      </w:r>
      <w:r>
        <w:t xml:space="preserve">of [12] in a form checkable from metadata, and we claim nothing more. Three</w:t>
      </w:r>
      <w:r>
        <w:t xml:space="preserve"> </w:t>
      </w:r>
      <w:r>
        <w:t xml:space="preserve">properties matter.</w:t>
      </w:r>
      <w:r>
        <w:t xml:space="preserve"> </w:t>
      </w:r>
      <m:oMath>
        <m:sSub>
          <m:e>
            <m:r>
              <m:t>N</m:t>
            </m:r>
          </m:e>
          <m:sub>
            <m:r>
              <m:t>k</m:t>
            </m:r>
          </m:sub>
        </m:sSub>
      </m:oMath>
      <w:r>
        <w:t xml:space="preserve"> </w:t>
      </w:r>
      <w:r>
        <w:t xml:space="preserve">is absent from the bound, so adding measurements to</w:t>
      </w:r>
      <w:r>
        <w:t xml:space="preserve"> </w:t>
      </w:r>
      <w:r>
        <w:t xml:space="preserve">existing blocks never restores feasibility; the inequality is not strict, so a</w:t>
      </w:r>
      <w:r>
        <w:t xml:space="preserve"> </w:t>
      </w:r>
      <w:r>
        <w:t xml:space="preserve">grouping exactly on the boundary is feasible (Appendix A.1); 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is the textbook</w:t>
      </w:r>
      <w:r>
        <w:t xml:space="preserve"> </w:t>
      </w:r>
      <w:r>
        <w:t xml:space="preserve">expression for an unweighted mean of cluster means [29],</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Cluster-randomized</w:t>
      </w:r>
      <w:r>
        <w:t xml:space="preserve"> </w:t>
      </w:r>
      <w:r>
        <w:t xml:space="preserve">trials usually replace equal weighting of cluster means with minimum-variance</w:t>
      </w:r>
      <w:r>
        <w:t xml:space="preserve"> </w:t>
      </w:r>
      <w:r>
        <w:t xml:space="preserve">weights [30], [31]; 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primary analysis estimates</w:t>
      </w:r>
      <w:r>
        <w:t xml:space="preserve"> </w:t>
      </w:r>
      <m:oMath>
        <m:r>
          <m:t>ρ</m:t>
        </m:r>
      </m:oMath>
      <w:r>
        <w:t xml:space="preserve"> </w:t>
      </w:r>
      <w:r>
        <w:t xml:space="preserve">from conformity scores and is</w:t>
      </w:r>
      <w:r>
        <w:t xml:space="preserve"> </w:t>
      </w:r>
      <w:r>
        <w:t xml:space="preserve">repeated with the indicator correlation</w:t>
      </w:r>
      <w:r>
        <w:t xml:space="preserve"> </w:t>
      </w:r>
      <m:oMath>
        <m:r>
          <m:t>ρ</m:t>
        </m:r>
        <m:r>
          <m:rPr>
            <m:sty m:val="p"/>
          </m:rPr>
          <m:t>(</m:t>
        </m:r>
        <m:r>
          <m:t>t</m:t>
        </m:r>
        <m:r>
          <m:rPr>
            <m:sty m:val="p"/>
          </m:rPr>
          <m:t>)</m:t>
        </m:r>
      </m:oMath>
      <w:r>
        <w:t xml:space="preserve"> </w:t>
      </w:r>
      <w:r>
        <w:t xml:space="preserve">(§5.4). The axis is a heuristic</w:t>
      </w:r>
      <w:r>
        <w:t xml:space="preserve"> </w:t>
      </w:r>
      <w:r>
        <w:t xml:space="preserve">under (A) for ranking configurations, not a calibrated effective sample size; for</w:t>
      </w:r>
      <w:r>
        <w:t xml:space="preserve"> </w:t>
      </w:r>
      <w:r>
        <w:t xml:space="preserve">the latter we defer to Noonan, who derives a closed form for thresholds under</w:t>
      </w:r>
      <w:r>
        <w:t xml:space="preserve"> </w:t>
      </w:r>
      <w:r>
        <w:t xml:space="preserve">clustering and shows that the correction now used in the conformal literature</w:t>
      </w:r>
      <w:r>
        <w:t xml:space="preserve"> </w:t>
      </w:r>
      <w:r>
        <w:t xml:space="preserve">targets the wrong quantity [32].</w:t>
      </w:r>
    </w:p>
    <w:bookmarkEnd w:id="18"/>
    <w:bookmarkStart w:id="22"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its implication for calibration</w:t>
      </w:r>
      <w:r>
        <w:t xml:space="preserve"> </w:t>
      </w:r>
      <w:r>
        <w:t xml:space="preserve">is what matters here.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[13],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Rare classes are known to starve class-conditional</w:t>
      </w:r>
      <w:r>
        <w:t xml:space="preserve"> </w:t>
      </w:r>
      <w:r>
        <w:t xml:space="preserve">calibration under exchangeability [34]; under hierarchical dependence the count</w:t>
      </w:r>
      <w:r>
        <w:t xml:space="preserve"> </w:t>
      </w:r>
      <w:r>
        <w:t xml:space="preserve">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thresholds under clustering</w:t>
      </w:r>
      <w:r>
        <w:t xml:space="preserve"> </w:t>
      </w:r>
      <w:r>
        <w:t xml:space="preserve">face the same size-biased selection [32].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3"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8"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Block count and block size come as a package within any one dataset, so no</w:t>
      </w:r>
      <w:r>
        <w:t xml:space="preserve"> </w:t>
      </w:r>
      <w:r>
        <w:t xml:space="preserve">single dataset can separate their effects. Only</w:t>
      </w:r>
      <w:r>
        <w:t xml:space="preserve"> </w:t>
      </w:r>
      <m:oMath>
        <m:r>
          <m:t>H</m:t>
        </m:r>
      </m:oMath>
      <w:r>
        <w:t xml:space="preserve"> </w:t>
      </w:r>
      <w:r>
        <w:t xml:space="preserve">is structural:</w:t>
      </w:r>
      <w:r>
        <w:t xml:space="preserve"> </w:t>
      </w:r>
      <m:oMath>
        <m:sSub>
          <m:e>
            <m:r>
              <m:t>K</m:t>
            </m:r>
          </m:e>
          <m:sub>
            <m:r>
              <m:t>1</m:t>
            </m:r>
          </m:sub>
        </m:sSub>
      </m:oMath>
      <w:r>
        <w:t xml:space="preserve"> </w:t>
      </w:r>
      <w:r>
        <w:t xml:space="preserve">follows</w:t>
      </w:r>
      <w:r>
        <w:t xml:space="preserve"> </w:t>
      </w:r>
      <w:r>
        <w:t xml:space="preserve">from the split design (958 is half of the 1,917 patients in our fold-9</w:t>
      </w:r>
      <w:r>
        <w:t xml:space="preserve"> </w:t>
      </w:r>
      <w:r>
        <w:t xml:space="preserve">evaluation subset), and the design effect depends on the model through the score</w:t>
      </w:r>
      <w:r>
        <w:t xml:space="preserve"> </w:t>
      </w:r>
      <w:r>
        <w:t xml:space="preserve">ICC</w:t>
      </w:r>
      <w:r>
        <w:t xml:space="preserve"> </w:t>
      </w:r>
      <m:oMath>
        <m:r>
          <m:t>ρ</m:t>
        </m:r>
      </m:oMath>
      <w:r>
        <w:t xml:space="preserve">. Challenge 2021 supports no claim of generality; it is there because a</w:t>
      </w:r>
      <w:r>
        <w:t xml:space="preserve"> </w:t>
      </w:r>
      <w:r>
        <w:t xml:space="preserve">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6" name="Picture"/>
            <a:graphic>
              <a:graphicData uri="http://schemas.openxmlformats.org/drawingml/2006/picture">
                <pic:pic>
                  <pic:nvPicPr>
                    <pic:cNvPr descr="figures/fig3_block_geometry.png" id="27" name="Picture"/>
                    <pic:cNvPicPr>
                      <a:picLocks noChangeArrowheads="1" noChangeAspect="1"/>
                    </pic:cNvPicPr>
                  </pic:nvPicPr>
                  <pic:blipFill>
                    <a:blip r:embed="rId25"/>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confirmatory analysis uses folds 9–10, with fold 10</w:t>
      </w:r>
      <w:r>
        <w:t xml:space="preserve"> </w:t>
      </w:r>
      <w:r>
        <w:t xml:space="preserve">held in reserve and still unexamined.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annotated beat by beat by cardiologists; the four paced records (102,</w:t>
      </w:r>
      <w:r>
        <w:t xml:space="preserve"> </w:t>
      </w:r>
      <w:r>
        <w:t xml:space="preserve">104, 107, 217) are removed, leaving 44.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we keep the standard</w:t>
      </w:r>
      <w:r>
        <w:t xml:space="preserve"> </w:t>
      </w:r>
      <w:r>
        <w:t xml:space="preserve">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sampled</w:t>
      </w:r>
      <w:r>
        <w:t xml:space="preserve"> </w:t>
      </w:r>
      <w:r>
        <w:t xml:space="preserve">header field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w:t>
      </w:r>
      <w:r>
        <w:t xml:space="preserve"> </w:t>
      </w:r>
      <w:r>
        <w:t xml:space="preserve">Proposition 1; for the patient partition,</w:t>
      </w:r>
      <w:r>
        <w:t xml:space="preserve"> </w:t>
      </w:r>
      <m:oMath>
        <m:sSub>
          <m:e>
            <m:r>
              <m:t>K</m:t>
            </m:r>
          </m:e>
          <m:sub>
            <m:r>
              <m:t>1</m:t>
            </m:r>
          </m:sub>
        </m:sSub>
      </m:oMath>
      <w:r>
        <w:t xml:space="preserve"> </w:t>
      </w:r>
      <w:r>
        <w:t xml:space="preserve">becomes an assumption that</w:t>
      </w:r>
      <w:r>
        <w:t xml:space="preserve"> </w:t>
      </w:r>
      <w:r>
        <w:t xml:space="preserve">authors must state.</w:t>
      </w:r>
    </w:p>
    <w:bookmarkEnd w:id="28"/>
    <w:bookmarkStart w:id="29"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fold 9 at the patient</w:t>
      </w:r>
      <w:r>
        <w:t xml:space="preserve"> </w:t>
      </w:r>
      <w:r>
        <w:t xml:space="preserve">level into calibration and evaluation halves (200–400 repetitions); fold 8 is</w:t>
      </w:r>
      <w:r>
        <w:t xml:space="preserve"> </w:t>
      </w:r>
      <w:r>
        <w:t xml:space="preserve">left out for its different label quality, and fold 10 is reserved for one final</w:t>
      </w:r>
      <w:r>
        <w:t xml:space="preserve"> </w:t>
      </w:r>
      <w:r>
        <w:t xml:space="preserve">confirmatory evaluation. MIT-BIH trains on DS1 minus four validation records</w:t>
      </w:r>
      <w:r>
        <w:t xml:space="preserve"> </w:t>
      </w:r>
      <w:r>
        <w:t xml:space="preserve">(124, 205, 215, 230), validates on those four, and splits DS2 11/11 at the record</w:t>
      </w:r>
      <w:r>
        <w:t xml:space="preserve"> </w:t>
      </w:r>
      <w:r>
        <w:t xml:space="preserve">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MIT-BIH records</w:t>
      </w:r>
      <w:r>
        <w:t xml:space="preserve"> </w:t>
      </w:r>
      <w:r>
        <w:t xml:space="preserve">differ in length by up to a factor of 2.2, so both are reported there (§5.3). On</w:t>
      </w:r>
      <w:r>
        <w:t xml:space="preserve"> </w:t>
      </w:r>
      <w:r>
        <w:t xml:space="preserve">PTB-XL we report superset coverage (5), using the maximum score over the true</w:t>
      </w:r>
      <w:r>
        <w:t xml:space="preserve"> </w:t>
      </w:r>
      <w:r>
        <w:t xml:space="preserve">labels.</w:t>
      </w:r>
    </w:p>
    <w:bookmarkEnd w:id="29"/>
    <w:bookmarkStart w:id="30" w:name="models-and-conformity-scores"/>
    <w:p>
      <w:pPr>
        <w:pStyle w:val="Heading2"/>
      </w:pPr>
      <w:r>
        <w:t xml:space="preserve">4.3 Models and conformity scores</w:t>
      </w:r>
    </w:p>
    <w:p>
      <w:pPr>
        <w:pStyle w:val="FirstParagraph"/>
        <w:jc w:val="both"/>
      </w:pPr>
      <w:r>
        <w:t xml:space="preserve">Conformal guarantees do not depend on the model, so the backbone changes set</w:t>
      </w:r>
      <w:r>
        <w:t xml:space="preserve"> </w:t>
      </w:r>
      <w:r>
        <w:t xml:space="preserve">size, not validity. The primary backbone, SmallECGNet, is a compact 1-D</w:t>
      </w:r>
      <w:r>
        <w:t xml:space="preserve"> </w:t>
      </w:r>
      <w:r>
        <w:t xml:space="preserve">convolutional network (104,389 parameters for 12-lead input, 101,925 for one</w:t>
      </w:r>
      <w:r>
        <w:t xml:space="preserve"> </w:t>
      </w:r>
      <w:r>
        <w:t xml:space="preserve">lead), reused from the primary study without retraining. Each audit is repeated</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(patience 5) and at most 25 epochs on PTB-XL and 30 on MIT-BIH; SmallECGNet had</w:t>
      </w:r>
      <w:r>
        <w:t xml:space="preserve"> </w:t>
      </w:r>
      <w:r>
        <w:t xml:space="preserve">used the same optimizer and stopping rule.</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validity</w:t>
      </w:r>
      <w:r>
        <w:t xml:space="preserve"> </w:t>
      </w:r>
      <w:r>
        <w:t xml:space="preserve">holds for any score fixed before calibration, so a weak minority-class score</w:t>
      </w:r>
      <w:r>
        <w:t xml:space="preserve"> </w:t>
      </w:r>
      <w:r>
        <w:t xml:space="preserve">enlarges sets without affecting the coverage under 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0"/>
    <w:bookmarkStart w:id="31"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added post hoc once the</w:t>
      </w:r>
      <w:r>
        <w:t xml:space="preserve"> </w:t>
      </w:r>
      <w:r>
        <w:t xml:space="preserve">distinction was noticed. All analyses follow an internal, version-controlled</w:t>
      </w:r>
      <w:r>
        <w:t xml:space="preserve"> </w:t>
      </w:r>
      <w:r>
        <w:t xml:space="preserve">protocol whose deviation log records every departure from the initial plan</w:t>
      </w:r>
      <w:r>
        <w:t xml:space="preserve"> </w:t>
      </w:r>
      <w:r>
        <w:t xml:space="preserve">(§6.4).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1"/>
    <w:bookmarkStart w:id="32"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2"/>
    <w:bookmarkEnd w:id="33"/>
    <w:bookmarkStart w:id="60"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0"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patient</w:t>
      </w:r>
      <w:r>
        <w:t xml:space="preserve"> </w:t>
      </w:r>
      <w:r>
        <w:t xml:space="preserve">blocking is feasible at every conventional</w:t>
      </w:r>
      <w:r>
        <w:t xml:space="preserve"> </w:t>
      </w:r>
      <m:oMath>
        <m:r>
          <m:t>α</m:t>
        </m:r>
      </m:oMath>
      <w:r>
        <w:t xml:space="preserve">, and each coarser source</w:t>
      </w:r>
      <w:r>
        <w:t xml:space="preserve"> </w:t>
      </w:r>
      <w:r>
        <w:t xml:space="preserve">narrows the admissible range.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fold 9 (circles: single source; squares: joins) and the MIT-BIH records (diamond), with K_1 in parentheses. A level \alpha is attainable only below its dotted line." title="" id="35" name="Picture"/>
            <a:graphic>
              <a:graphicData uri="http://schemas.openxmlformats.org/drawingml/2006/picture">
                <pic:pic>
                  <pic:nvPicPr>
                    <pic:cNvPr descr="figures/fig4_feasibility_frontier.png" id="36" name="Picture"/>
                    <pic:cNvPicPr>
                      <a:picLocks noChangeArrowheads="1" noChangeAspect="1"/>
                    </pic:cNvPicPr>
                  </pic:nvPicPr>
                  <pic:blipFill>
                    <a:blip r:embed="rId34"/>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fold 9 (circles: single source; squares: joins) and the MIT-BIH records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All superclasses pass, but 24 of the 44 SCP codes</w:t>
      </w:r>
      <w:r>
        <w:t xml:space="preserve"> </w:t>
      </w:r>
      <w:r>
        <w:t xml:space="preserve">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w:t>
      </w:r>
      <w:r>
        <w:t xml:space="preserve"> </w:t>
      </w:r>
      <w:r>
        <w:t xml:space="preserve">Bonferroni correction across labels makes 43 of 44 codes infeasible at a</w:t>
      </w:r>
      <w:r>
        <w:t xml:space="preserve"> </w:t>
      </w:r>
      <w:r>
        <w:t xml:space="preserve">family-wise</w:t>
      </w:r>
      <w:r>
        <w:t xml:space="preserve"> </w:t>
      </w:r>
      <m:oMath>
        <m:r>
          <m:t>α</m:t>
        </m:r>
        <m:r>
          <m:rPr>
            <m:sty m:val="p"/>
          </m:rPr>
          <m:t>=</m:t>
        </m:r>
        <m:r>
          <m:t>0.05</m:t>
        </m:r>
      </m:oMath>
      <w:r>
        <w:t xml:space="preserve">. Table 4 counts the failing labels per level.</w:t>
      </w:r>
    </w:p>
    <w:p>
      <w:pPr>
        <w:pStyle w:val="BodyText"/>
        <w:keepNext/>
        <w:spacing w:before="160"/>
        <w:jc w:val="left"/>
      </w:pPr>
      <w:r/>
      <w:r>
        <w:rPr>
          <w:b/>
          <w:sz w:val="18"/>
        </w:rPr>
        <w:t xml:space="preserve">Table 4. </w:t>
      </w:r>
      <w:r>
        <w:rPr>
          <w:sz w:val="18"/>
        </w:rPr>
        <w:t>PTB-XL labels failing Proposition 3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8" name="Picture"/>
            <a:graphic>
              <a:graphicData uri="http://schemas.openxmlformats.org/drawingml/2006/picture">
                <pic:pic>
                  <pic:nvPicPr>
                    <pic:cNvPr descr="figures/fig5_label_feasibility.png" id="39" name="Picture"/>
                    <pic:cNvPicPr>
                      <a:picLocks noChangeArrowheads="1" noChangeAspect="1"/>
                    </pic:cNvPicPr>
                  </pic:nvPicPr>
                  <pic:blipFill>
                    <a:blip r:embed="rId37"/>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0"/>
    <w:bookmarkStart w:id="44"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2" name="Picture"/>
            <a:graphic>
              <a:graphicData uri="http://schemas.openxmlformats.org/drawingml/2006/picture">
                <pic:pic>
                  <pic:nvPicPr>
                    <pic:cNvPr descr="figures/fig6_coverage.png" id="43" name="Picture"/>
                    <pic:cNvPicPr>
                      <a:picLocks noChangeArrowheads="1" noChangeAspect="1"/>
                    </pic:cNvPicPr>
                  </pic:nvPicPr>
                  <pic:blipFill>
                    <a:blip r:embed="rId41"/>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4"/>
    <w:bookmarkStart w:id="51"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303520" cy="1273853"/>
            <wp:effectExtent b="0" l="0" r="0" t="0"/>
            <wp:docPr descr="Fig. 7. Controls used on MIT-BIH, drawn on four illustrative records (colors mark the original record of each beat). (a) Permutation null. (b) 2×2 factorial design crossing clustering with calibration block-size balance. (c) Dose–response: a growing fraction p of beats reassigned at random." title="" id="46" name="Picture"/>
            <a:graphic>
              <a:graphicData uri="http://schemas.openxmlformats.org/drawingml/2006/picture">
                <pic:pic>
                  <pic:nvPicPr>
                    <pic:cNvPr descr="figures/fig7_control_design.png" id="47" name="Picture"/>
                    <pic:cNvPicPr>
                      <a:picLocks noChangeArrowheads="1" noChangeAspect="1"/>
                    </pic:cNvPicPr>
                  </pic:nvPicPr>
                  <pic:blipFill>
                    <a:blip r:embed="rId45"/>
                    <a:stretch>
                      <a:fillRect/>
                    </a:stretch>
                  </pic:blipFill>
                  <pic:spPr bwMode="auto">
                    <a:xfrm>
                      <a:off x="0" y="0"/>
                      <a:ext cx="5303520" cy="1273853"/>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dependence causes B1 to under-cover, we</w:t>
      </w:r>
      <w:r>
        <w:t xml:space="preserve"> </w:t>
      </w:r>
      <w:r>
        <w:t xml:space="preserve">compared it with a matched null that permutes the assignment of beats to records</w:t>
      </w:r>
      <w:r>
        <w:t xml:space="preserve"> </w:t>
      </w:r>
      <w:r>
        <w:t xml:space="preserve">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(same jackknife</w:t>
      </w:r>
      <w:r>
        <w:t xml:space="preserve"> </w:t>
      </w:r>
      <w:r>
        <w:t xml:space="preserve">runs, full data).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It lies between 81% and 107%: removing dependence barely changes</w:t>
      </w:r>
      <w:r>
        <w:t xml:space="preserve"> </w:t>
      </w:r>
      <w:r>
        <w:t xml:space="preserve">the gap, and at</w:t>
      </w:r>
      <w:r>
        <w:t xml:space="preserve"> </w:t>
      </w:r>
      <m:oMath>
        <m:r>
          <m:t>α</m:t>
        </m:r>
        <m:r>
          <m:rPr>
            <m:sty m:val="p"/>
          </m:rPr>
          <m:t>=</m:t>
        </m:r>
        <m:r>
          <m:t>0.10</m:t>
        </m:r>
      </m:oMath>
      <w:r>
        <w:t xml:space="preserve"> </w:t>
      </w:r>
      <w:r>
        <w:t xml:space="preserve">the gap is slightly wider without dependence,</w:t>
      </w:r>
      <w:r>
        <w:t xml:space="preserve"> </w:t>
      </w:r>
      <w:r>
        <w:t xml:space="preserve">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w:t>
      </w:r>
      <w:r>
        <w:t xml:space="preserve"> </w:t>
      </w:r>
      <w:r>
        <w:t xml:space="preserve">“B12 improves on B1”</w:t>
      </w:r>
      <w:r>
        <w:t xml:space="preserve"> </w:t>
      </w:r>
      <w:r>
        <w:t xml:space="preserve">was therefore withdrawn as a criterion</w:t>
      </w:r>
      <w:r>
        <w:t xml:space="preserve"> </w:t>
      </w:r>
      <w:r>
        <w:t xml:space="preserve">(§6.4), and the deficit against the permutation null is the evidence used</w:t>
      </w:r>
      <w:r>
        <w:t xml:space="preserve"> </w:t>
      </w:r>
      <w:r>
        <w:t xml:space="preserve">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Imbalance</w:t>
      </w:r>
      <w:r>
        <w:t xml:space="preserve"> </w:t>
      </w:r>
      <w:r>
        <w:t xml:space="preserve">thus amplifies clustering rather than producing the deficit itself. As in</w:t>
      </w:r>
      <w:r>
        <w:t xml:space="preserve"> </w:t>
      </w:r>
      <w:r>
        <w:t xml:space="preserve">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49" name="Picture"/>
            <a:graphic>
              <a:graphicData uri="http://schemas.openxmlformats.org/drawingml/2006/picture">
                <pic:pic>
                  <pic:nvPicPr>
                    <pic:cNvPr descr="figures/fig8_attribution.png" id="50" name="Picture"/>
                    <pic:cNvPicPr>
                      <a:picLocks noChangeArrowheads="1" noChangeAspect="1"/>
                    </pic:cNvPicPr>
                  </pic:nvPicPr>
                  <pic:blipFill>
                    <a:blip r:embed="rId48"/>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1"/>
    <w:bookmarkStart w:id="55"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762"/>
        <w:gridCol w:w="460"/>
        <w:gridCol w:w="1565"/>
        <w:gridCol w:w="1565"/>
        <w:gridCol w:w="156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intact</w:t>
      </w:r>
      <w:r>
        <w:t xml:space="preserve"> </w:t>
      </w:r>
      <w:r>
        <w:t xml:space="preserve">MIT-BIH, and on this axis the combined correlation stays positive (0.80–0.85);</w:t>
      </w:r>
      <w:r>
        <w:t xml:space="preserve"> </w:t>
      </w:r>
      <w:r>
        <w:t xml:space="preserve">using the ICC of the coverage indicator at a fixed threshold, the quantity in the</w:t>
      </w:r>
      <w:r>
        <w:t xml:space="preserve"> </w:t>
      </w:r>
      <w:r>
        <w:t xml:space="preserve">variance of §3.2, does not change the conclusion. DEff is a summary axis, not a</w:t>
      </w:r>
      <w:r>
        <w:t xml:space="preserve"> </w:t>
      </w:r>
      <w:r>
        <w:t xml:space="preserve">sufficient statistic; an exceedance-specific design effect is given in [32].</w:t>
      </w:r>
      <w:r>
        <w:t xml:space="preserve"> </w:t>
      </w:r>
      <w:r>
        <w:t xml:space="preserve">Fig. 9 plots the deficit against DEff: the MIT-BIH gradient carries the combined</w:t>
      </w:r>
      <w:r>
        <w:t xml:space="preserve"> </w:t>
      </w:r>
      <w:r>
        <w:t xml:space="preserve">correlation, and PTB-XL serves as a prediction check at the low-dependence end</w:t>
      </w:r>
      <w:r>
        <w:t xml:space="preserve"> </w:t>
      </w:r>
      <w:r>
        <w:t xml:space="preserve">rather than an independent trend (§6.4), with deficits of −0.05, −0.12 and</w:t>
      </w:r>
      <w:r>
        <w:t xml:space="preserve"> </w:t>
      </w:r>
      <w:r>
        <w:t xml:space="preserve">−0.16 pp, i.e. coverage slightly 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3" name="Picture"/>
            <a:graphic>
              <a:graphicData uri="http://schemas.openxmlformats.org/drawingml/2006/picture">
                <pic:pic>
                  <pic:nvPicPr>
                    <pic:cNvPr descr="figures/fig9_dose_response.png" id="54" name="Picture"/>
                    <pic:cNvPicPr>
                      <a:picLocks noChangeArrowheads="1" noChangeAspect="1"/>
                    </pic:cNvPicPr>
                  </pic:nvPicPr>
                  <pic:blipFill>
                    <a:blip r:embed="rId52"/>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5"/>
    <w:bookmarkStart w:id="59"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7" name="Picture"/>
            <a:graphic>
              <a:graphicData uri="http://schemas.openxmlformats.org/drawingml/2006/picture">
                <pic:pic>
                  <pic:nvPicPr>
                    <pic:cNvPr descr="figures/fig10_robustness.png" id="58" name="Picture"/>
                    <pic:cNvPicPr>
                      <a:picLocks noChangeArrowheads="1" noChangeAspect="1"/>
                    </pic:cNvPicPr>
                  </pic:nvPicPr>
                  <pic:blipFill>
                    <a:blip r:embed="rId56"/>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59"/>
    <w:bookmarkEnd w:id="60"/>
    <w:bookmarkStart w:id="65" w:name="discussion"/>
    <w:p>
      <w:pPr>
        <w:pStyle w:val="Heading1"/>
      </w:pPr>
      <w:r>
        <w:t xml:space="preserve">6. Discussion</w:t>
      </w:r>
    </w:p>
    <w:bookmarkStart w:id="61"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1"/>
    <w:bookmarkStart w:id="62"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2"/>
    <w:bookmarkStart w:id="63"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[28], lie far from this boundary, which is why it is easy to miss.</w:t>
      </w:r>
      <w:r>
        <w:t xml:space="preserve"> </w:t>
      </w:r>
      <w:r>
        <w:t xml:space="preserve">The inter-patient protocol prevents subject-level leakage [23], [25], [24],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settle the</w:t>
      </w:r>
      <w:r>
        <w:t xml:space="preserve"> </w:t>
      </w:r>
      <w:r>
        <w:t xml:space="preserve">most elementary part: whether a finite threshold exists depends only on the</w:t>
      </w:r>
      <w:r>
        <w:t xml:space="preserve"> </w:t>
      </w:r>
      <w:r>
        <w:t xml:space="preserve">number of groups (Proposition 1). With blocks in place of points, the bound plays</w:t>
      </w:r>
      <w:r>
        <w:t xml:space="preserve"> </w:t>
      </w:r>
      <w:r>
        <w:t xml:space="preserve">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subjects, not beats,</w:t>
      </w:r>
      <w:r>
        <w:t xml:space="preserve"> </w:t>
      </w:r>
      <w:r>
        <w:t xml:space="preserve">carry the guarantee, and too few calibration subjects undermine it. The audit</w:t>
      </w:r>
      <w:r>
        <w:t xml:space="preserve"> </w:t>
      </w:r>
      <w:r>
        <w:t xml:space="preserve">differs in counting blocks under crossed sources and per label, and in separating</w:t>
      </w:r>
      <w:r>
        <w:t xml:space="preserve"> </w:t>
      </w:r>
      <w:r>
        <w:t xml:space="preserve">dependence from block-size imbalance and from the mechanical effect of the</w:t>
      </w:r>
      <w:r>
        <w:t xml:space="preserve"> </w:t>
      </w:r>
      <w:r>
        <w:t xml:space="preserve">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[26] and time-series variants [27] rest on</w:t>
      </w:r>
      <w:r>
        <w:t xml:space="preserve"> </w:t>
      </w:r>
      <w:r>
        <w:t xml:space="preserve">related exchangeability or stationarity assumptions; whether their block-level</w:t>
      </w:r>
      <w:r>
        <w:t xml:space="preserve"> </w:t>
      </w:r>
      <w:r>
        <w:t xml:space="preserve">versions meet the same boundary is open.</w:t>
      </w:r>
    </w:p>
    <w:bookmarkEnd w:id="63"/>
    <w:bookmarkStart w:id="64"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confirmatory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post hoc leave-one-record-out</w:t>
      </w:r>
      <w:r>
        <w:t xml:space="preserve"> </w:t>
      </w:r>
      <w:r>
        <w:t xml:space="preserve">jackknife treats records as the sampling unit; its intervals include zero in</w:t>
      </w:r>
      <w:r>
        <w:t xml:space="preserve"> </w:t>
      </w:r>
      <w:r>
        <w:t xml:space="preserve">every cell and, because each replicate rests on 500 splits, are slightly</w:t>
      </w:r>
      <w:r>
        <w:t xml:space="preserve"> </w:t>
      </w:r>
      <w:r>
        <w:t xml:space="preserve">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[33]. Declaring only {patient, site}</w:t>
      </w:r>
      <w:r>
        <w:t xml:space="preserve"> </w:t>
      </w:r>
      <w:r>
        <w:t xml:space="preserve">gives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specified in the initial protocol</w:t>
      </w:r>
      <w:r>
        <w:t xml:space="preserve"> </w:t>
      </w:r>
      <w:r>
        <w:t xml:space="preserve">but applied late, removed the last significant level for ResNet1D-34; the</w:t>
      </w:r>
      <w:r>
        <w:t xml:space="preserve"> </w:t>
      </w:r>
      <w:r>
        <w:t xml:space="preserve">reporting axis was chosen after ICC failed to place the two datasets on one</w:t>
      </w:r>
      <w:r>
        <w:t xml:space="preserve"> </w:t>
      </w:r>
      <w:r>
        <w:t xml:space="preserve">scale; and the record-level jackknife, committed before it was run, showed that</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 decision to report on this</w:t>
      </w:r>
      <w:r>
        <w:t xml:space="preserve"> </w:t>
      </w:r>
      <w:r>
        <w:t xml:space="preserve">axis was taken with results in view. The protocol was kept under version control</w:t>
      </w:r>
      <w:r>
        <w:t xml:space="preserve"> </w:t>
      </w:r>
      <w:r>
        <w:t xml:space="preserve">but not publicly registered or formally frozen; it is released with its deviation</w:t>
      </w:r>
      <w:r>
        <w:t xml:space="preserve"> </w:t>
      </w:r>
      <w:r>
        <w:t xml:space="preserve">log.</w:t>
      </w:r>
    </w:p>
    <w:bookmarkEnd w:id="64"/>
    <w:bookmarkEnd w:id="65"/>
    <w:bookmarkStart w:id="66"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correlation: near-singleton blocks left coverage intact</w:t>
      </w:r>
      <w:r>
        <w:t xml:space="preserve"> </w:t>
      </w:r>
      <w:r>
        <w:t xml:space="preserve">despite substantial correlation, while thousands of beats per subject produced a</w:t>
      </w:r>
      <w:r>
        <w:t xml:space="preserve"> </w:t>
      </w:r>
      <w:r>
        <w:t xml:space="preserve">deficit on the audited subjects that 22 of them were too few to establish for the</w:t>
      </w:r>
      <w:r>
        <w:t xml:space="preserve"> </w:t>
      </w:r>
      <w:r>
        <w:t xml:space="preserve">population. 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whether other</w:t>
      </w:r>
      <w:r>
        <w:t xml:space="preserve"> </w:t>
      </w:r>
      <w:r>
        <w:t xml:space="preserve">block-level procedures face the same boundary is open.</w:t>
      </w:r>
    </w:p>
    <w:bookmarkEnd w:id="66"/>
    <w:bookmarkStart w:id="67"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7"/>
    <w:bookmarkStart w:id="71" w:name="appendix-a.-supplementary-derivations"/>
    <w:p>
      <w:pPr>
        <w:pStyle w:val="Heading1"/>
      </w:pPr>
      <w:r>
        <w:t xml:space="preserve">Appendix A. Supplementary Derivations</w:t>
      </w:r>
    </w:p>
    <w:bookmarkStart w:id="68"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8"/>
    <w:bookmarkStart w:id="69"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9"/>
    <w:bookmarkStart w:id="70"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loses efficiency when cluster sizes vary</w:t>
      </w:r>
      <w:r>
        <w:t xml:space="preserve"> </w:t>
      </w:r>
      <w:r>
        <w:t xml:space="preserve">[30], [31]. In HCP it cannot be replaced, so the practitioner is tied to the</w:t>
      </w:r>
      <w:r>
        <w:t xml:space="preserve"> </w:t>
      </w:r>
      <w:r>
        <w:t xml:space="preserve">estimator that cluster-sampling theory regards as most sensitive to block</w:t>
      </w:r>
      <w:r>
        <w:t xml:space="preserve"> </w:t>
      </w:r>
      <w:r>
        <w:t xml:space="preserve">imbalance, without the standard remedy.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70"/>
    <w:bookmarkEnd w:id="71"/>
    <w:bookmarkStart w:id="72"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72"/>
    <w:bookmarkStart w:id="73"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3"/>
    <w:bookmarkStart w:id="74"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[21]</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[22]</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[23]</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[24]</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[25]</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[26]</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[27]</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[28]</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[29]</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png"/><Relationship Id="rId10" Type="http://schemas.openxmlformats.org/officeDocument/2006/relationships/image" Target="media/rId10.png"/><Relationship Id="rId19" Type="http://schemas.openxmlformats.org/officeDocument/2006/relationships/image" Target="media/rId19.png"/><Relationship Id="rId25" Type="http://schemas.openxmlformats.org/officeDocument/2006/relationships/image" Target="media/rId25.png"/><Relationship Id="rId34" Type="http://schemas.openxmlformats.org/officeDocument/2006/relationships/image" Target="media/rId34.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2026-10-03T17:47:36Z</dcterms:created>
  <dcterms:modified xsi:type="dcterms:W3CDTF">2026-10-03T17:47:36Z</dcterms:modified>
</cp:coreProperties>
</file>

<file path=docProps/custom.xml><?xml version="1.0" encoding="utf-8"?>
<Properties xmlns="http://schemas.openxmlformats.org/officeDocument/2006/custom-properties" xmlns:vt="http://schemas.openxmlformats.org/officeDocument/2006/docPropsVTypes"/>
</file>