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2026-10-02 from commit 351fe87.</w:t>
      </w:r>
    </w:p>
    <w:p>
      <w:pPr>
        <w:pStyle w:val="BodyText"/>
        <w:jc w:val="both"/>
      </w:pPr>
      <w:r>
        <w:rPr>
          <w:b/>
          <w:bCs/>
          <w:sz w:val="19"/>
        </w:rPr>
        <w:t xml:space="preserve">Abstract—</w:t>
      </w:r>
      <w:r>
        <w:rPr>
          <w:b/>
          <w:sz w:val="19"/>
        </w:rPr>
        <w:t xml:space="preserve">Conformal prediction gives finite-sample coverage guarantees only when calibration and test data are exchangeable, an assumption that repeated recordings, segments and beats from the same patient break. Hierarchical conformal prediction (HCP) restores the guarantee by calibrating over blocks, but its threshold is finite only if the target error rate is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where</w:t>
      </w:r>
      <w:r>
        <w:rPr>
          <w:b/>
          <w:sz w:val="19"/>
        </w:rPr>
        <w:t xml:space="preserve"> </w:t>
      </w:r>
      <m:oMath>
        <m:sSub>
          <m:e>
            <m:r>
              <m:t>K</m:t>
            </m:r>
          </m:e>
          <m:sub>
            <m:r>
              <m:t>1</m:t>
            </m:r>
          </m:sub>
        </m:sSub>
      </m:oMath>
      <w:r>
        <w:rPr>
          <w:b/>
          <w:sz w:val="19"/>
        </w:rPr>
        <w:t xml:space="preserve"> </w:t>
      </w:r>
      <w:r>
        <w:rPr>
          <w:b/>
          <w:sz w:val="19"/>
        </w:rPr>
        <w:t xml:space="preserve">is the number of calibration blocks. We audit whether this guarantee can be enforced on three public electrocardiogram resources, and whether ignoring blocks costs coverage. Computed from metadata alone, the feasibility analysis shows that declaring all four documented dependence sources of PTB-XL collapses every admissible calibration grouping to a single block, and that 24 of 44 diagnostic statements admit no finite per-label threshold at</w:t>
      </w:r>
      <w:r>
        <w:rPr>
          <w:b/>
          <w:sz w:val="19"/>
        </w:rPr>
        <w:t xml:space="preserve"> </w:t>
      </w:r>
      <m:oMath>
        <m:r>
          <m:t>α</m:t>
        </m:r>
        <m:r>
          <m:rPr>
            <m:sty m:val="p"/>
          </m:rPr>
          <m:t>=</m:t>
        </m:r>
        <m:r>
          <m:t>0.05</m:t>
        </m:r>
      </m:oMath>
      <w:r>
        <w:rPr>
          <w:b/>
          <w:sz w:val="19"/>
        </w:rPr>
        <w:t xml:space="preserve"> </w:t>
      </w:r>
      <w:r>
        <w:rPr>
          <w:b/>
          <w:sz w:val="19"/>
        </w:rPr>
        <w:t xml:space="preserve">under patient blocking. On MIT-BIH, naive split conformal under-covers a matched permutation null by 1.5–2.4 percentage points; a factorial design attributes the deficit to clustering rather than to unequal block sizes, and in a controlled dose–response experiment the deficit rises with the design effect (Spearman 0.80–0.85). PTB-XL shows no deficit despite a within-patient correlation of 0.35, because most patients contribute a single recording. The apparent advantage of HCP over naive calibration is largely mechanical: it persists at 75–110% of its size when dependence is removed. Directions hold across three backbones, one of which fails the pre-registered significance criterion. Counting blocks, not records, should precede any claim of distribution-free coverage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9" w:name="introduction"/>
    <w:p>
      <w:pPr>
        <w:pStyle w:val="Heading1"/>
      </w:pPr>
      <w:r>
        <w:t xml:space="preserve">1. Introduction</w:t>
      </w:r>
    </w:p>
    <w:p>
      <w:pPr>
        <w:pStyle w:val="FirstParagraph"/>
        <w:jc w:val="both"/>
      </w:pPr>
      <w:r>
        <w:t xml:space="preserve">Deep networks for electrocardiogram (ECG) interpretation are now routinely</w:t>
      </w:r>
      <w:r>
        <w:t xml:space="preserve"> </w:t>
      </w:r>
      <w:r>
        <w:t xml:space="preserve">benchmarked on large public datasets [1], [2], and both reviews of clinical</w:t>
      </w:r>
      <w:r>
        <w:t xml:space="preserve"> </w:t>
      </w:r>
      <w:r>
        <w:t xml:space="preserve">deep learning [3] and the FUTURE-AI consensus guideline [4] list calibrated</w:t>
      </w:r>
      <w:r>
        <w:t xml:space="preserve"> </w:t>
      </w:r>
      <w:r>
        <w:t xml:space="preserve">uncertainty among the conditions for deployment.</w:t>
      </w:r>
    </w:p>
    <w:p>
      <w:pPr>
        <w:pStyle w:val="BodyText"/>
        <w:jc w:val="both"/>
      </w:pPr>
      <w:r>
        <w:t xml:space="preserve">Conformal prediction turns any trained classifier into a set-valued predictor</w:t>
      </w:r>
      <w:r>
        <w:t xml:space="preserve"> </w:t>
      </w:r>
      <w:r>
        <w:t xml:space="preserve">with finite-sample coverage [5]. It has been applied across clinical domains</w:t>
      </w:r>
      <w:r>
        <w:t xml:space="preserve"> </w:t>
      </w:r>
      <w:r>
        <w:t xml:space="preserve">[6]–[7] and, for ECG and related cardiac signals, to calibrate quantized</w:t>
      </w:r>
      <w:r>
        <w:t xml:space="preserve"> </w:t>
      </w:r>
      <w:r>
        <w:t xml:space="preserve">models [8], adapt inference on wearables [9], expose per-class and per-patient</w:t>
      </w:r>
      <w:r>
        <w:t xml:space="preserve"> </w:t>
      </w:r>
      <w:r>
        <w:t xml:space="preserve">failures [10], and control false alarms in monitoring [11]. The guarantee assumes</w:t>
      </w:r>
      <w:r>
        <w:t xml:space="preserve"> </w:t>
      </w:r>
      <w:r>
        <w:t xml:space="preserve">that calibration and test observations are exchangeable; without that</w:t>
      </w:r>
      <w:r>
        <w:t xml:space="preserve"> </w:t>
      </w:r>
      <w:r>
        <w:t xml:space="preserve">assumption the coverage gap can be bounded only in general terms [12].</w:t>
      </w:r>
    </w:p>
    <w:p>
      <w:pPr>
        <w:pStyle w:val="BodyText"/>
        <w:jc w:val="both"/>
      </w:pPr>
      <w:r>
        <w:t xml:space="preserve">Clinical ECG data rarely meet this assumption at the level at which they are</w:t>
      </w:r>
      <w:r>
        <w:t xml:space="preserve"> </w:t>
      </w:r>
      <w:r>
        <w:t xml:space="preserve">stored: a patient contributes several recordings, a Holter episode is cut into</w:t>
      </w:r>
      <w:r>
        <w:t xml:space="preserve"> </w:t>
      </w:r>
      <w:r>
        <w:t xml:space="preserve">segments, a recording yields thousands of beats, and devices, sites and</w:t>
      </w:r>
      <w:r>
        <w:t xml:space="preserve"> </w:t>
      </w:r>
      <w:r>
        <w:t xml:space="preserve">operators are shared across patients. A calibration set of many records may thus</w:t>
      </w:r>
      <w:r>
        <w:t xml:space="preserve"> </w:t>
      </w:r>
      <w:r>
        <w:t xml:space="preserve">contain far fewer independent units.</w:t>
      </w:r>
    </w:p>
    <w:p>
      <w:pPr>
        <w:pStyle w:val="BodyText"/>
        <w:jc w:val="both"/>
      </w:pPr>
      <w:r>
        <w:t xml:space="preserve">For such grouped data, Lee et al. formalized hierarchical exchangeability and a</w:t>
      </w:r>
      <w:r>
        <w:t xml:space="preserve"> </w:t>
      </w:r>
      <w:r>
        <w:t xml:space="preserve">hierarchical conformal prediction (HCP) procedure that calibrates over blocks</w:t>
      </w:r>
      <w:r>
        <w:t xml:space="preserve"> </w:t>
      </w:r>
      <w:r>
        <w:t xml:space="preserve">[13]; Dunn et al. gave related constructions for two-layer models [14]. HCP</w:t>
      </w:r>
      <w:r>
        <w:t xml:space="preserve"> </w:t>
      </w:r>
      <w:r>
        <w:t xml:space="preserve">gives every calibration block equal mass and adds an atom at</w:t>
      </w:r>
      <w:r>
        <w:t xml:space="preserve"> </w:t>
      </w:r>
      <m:oMath>
        <m:r>
          <m:rPr>
            <m:sty m:val="p"/>
          </m:rPr>
          <m:t>+</m:t>
        </m:r>
        <m:r>
          <m:rPr>
            <m:sty m:val="p"/>
          </m:rPr>
          <m:t>∞</m:t>
        </m:r>
      </m:oMath>
      <w:r>
        <w:t xml:space="preserve">, so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Respecting every</w:t>
      </w:r>
      <w:r>
        <w:t xml:space="preserve"> </w:t>
      </w:r>
      <w:r>
        <w:t xml:space="preserve">dependence source can leave a large dataset with few blocks, and a rare</w:t>
      </w:r>
      <w:r>
        <w:t xml:space="preserve"> </w:t>
      </w:r>
      <w:r>
        <w:t xml:space="preserve">diagnosis with fewer still; conversely, ignoring blocks need not cost coverage</w:t>
      </w:r>
      <w:r>
        <w:t xml:space="preserve"> </w:t>
      </w:r>
      <w:r>
        <w:t xml:space="preserve">when most patients contribute a single recording. Lee et al. leave the trade-off</w:t>
      </w:r>
      <w:r>
        <w:t xml:space="preserve"> </w:t>
      </w:r>
      <w:r>
        <w:t xml:space="preserve">between many small and few large groups open as a question of study design [13],</w:t>
      </w:r>
      <w:r>
        <w:t xml:space="preserve"> </w:t>
      </w:r>
      <w:r>
        <w:t xml:space="preserve">and Sim and Kim have shown for ECG monitoring that the false-alarm bound of</w:t>
      </w:r>
      <w:r>
        <w:t xml:space="preserve"> </w:t>
      </w:r>
      <w:r>
        <w:t xml:space="preserve">split conformal prediction counts subjects rather than beats [11].</w:t>
      </w:r>
    </w:p>
    <w:p>
      <w:pPr>
        <w:pStyle w:val="BodyText"/>
        <w:jc w:val="both"/>
      </w:pPr>
      <w:r>
        <w:t xml:space="preserve">What remains insufficiently characterized is whether the intended guarantee is</w:t>
      </w:r>
      <w:r>
        <w:t xml:space="preserve"> </w:t>
      </w:r>
      <w:r>
        <w:t xml:space="preserve">feasible under the dependence structures of real clinical resources, where</w:t>
      </w:r>
      <w:r>
        <w:t xml:space="preserve"> </w:t>
      </w:r>
      <w:r>
        <w:t xml:space="preserve">several sources may be crossed and coverage may be required per diagnosis. We</w:t>
      </w:r>
      <w:r>
        <w:t xml:space="preserve"> </w:t>
      </w:r>
      <w:r>
        <w:t xml:space="preserve">examine this design-stage question through an empirical audit of three public</w:t>
      </w:r>
      <w:r>
        <w:t xml:space="preserve"> </w:t>
      </w:r>
      <w:r>
        <w:t xml:space="preserve">ECG resources: PTB-XL [2], [15], with 18,869 patients averaging 1.16 records</w:t>
      </w:r>
      <w:r>
        <w:t xml:space="preserve"> </w:t>
      </w:r>
      <w:r>
        <w:t xml:space="preserve">each; the MIT-BIH Arrhythmia Database [16], whose 44 subjects each contribute</w:t>
      </w:r>
      <w:r>
        <w:t xml:space="preserve"> </w:t>
      </w:r>
      <w:r>
        <w:t xml:space="preserve">more than 1,500 beats; and the PhysioNet/CinC Challenge 2021 collection [17],</w:t>
      </w:r>
      <w:r>
        <w:t xml:space="preserve"> </w:t>
      </w:r>
      <w:r>
        <w:t xml:space="preserve">which does not document a block identifier at all. We introduce no new conformal</w:t>
      </w:r>
      <w:r>
        <w:t xml:space="preserve"> </w:t>
      </w:r>
      <w:r>
        <w:t xml:space="preserve">procedure. The audit makes four contributions.</w:t>
      </w:r>
    </w:p>
    <w:p>
      <w:pPr>
        <w:pStyle w:val="Compact"/>
        <w:numPr>
          <w:ilvl w:val="0"/>
          <w:numId w:val="1001"/>
        </w:numPr>
      </w:pPr>
      <w:r>
        <w:t xml:space="preserve">A metadata-only feasibility audit (§3, §5.1). Given the declared dependence</w:t>
      </w:r>
      <w:r>
        <w:t xml:space="preserve"> </w:t>
      </w:r>
      <w:r>
        <w:t xml:space="preserve">sources, the HCP bound and the join of those sources yield exact verdicts</w:t>
      </w:r>
      <w:r>
        <w:t xml:space="preserve"> </w:t>
      </w:r>
      <w:r>
        <w:t xml:space="preserve">before any patient is enrolled. Declaring all four documented sources of PTB-XL</w:t>
      </w:r>
      <w:r>
        <w:t xml:space="preserve"> </w:t>
      </w:r>
      <w:r>
        <w:t xml:space="preserve">collapses every admissible calibration grouping to a single block; under</w:t>
      </w:r>
      <w:r>
        <w:t xml:space="preserve"> </w:t>
      </w:r>
      <w:r>
        <w:t xml:space="preserve">patient blocking alone, 24 of 44 SCP diagnostic statements admit no finite</w:t>
      </w:r>
      <w:r>
        <w:t xml:space="preserve"> </w:t>
      </w:r>
      <w:r>
        <w:t xml:space="preserve">per-label threshold at</w:t>
      </w:r>
      <w:r>
        <w:t xml:space="preserve"> </w:t>
      </w:r>
      <m:oMath>
        <m:r>
          <m:t>α</m:t>
        </m:r>
        <m:r>
          <m:rPr>
            <m:sty m:val="p"/>
          </m:rPr>
          <m:t>=</m:t>
        </m:r>
        <m:r>
          <m:t>0.05</m:t>
        </m:r>
      </m:oMath>
      <w:r>
        <w:t xml:space="preserve">; and an even calibration–test split of the</w:t>
      </w:r>
      <w:r>
        <w:t xml:space="preserve"> </w:t>
      </w:r>
      <w:r>
        <w:t xml:space="preserve">22 MIT-BIH evaluation subjects cannot support a subject-level guarantee at the</w:t>
      </w:r>
      <w:r>
        <w:t xml:space="preserve"> </w:t>
      </w:r>
      <w:r>
        <w:t xml:space="preserve">95% level.</w:t>
      </w:r>
    </w:p>
    <w:p>
      <w:pPr>
        <w:pStyle w:val="Compact"/>
        <w:numPr>
          <w:ilvl w:val="0"/>
          <w:numId w:val="1001"/>
        </w:numPr>
      </w:pPr>
      <w:r>
        <w:t xml:space="preserve">Attribution of under-coverage to dependence acting through repetition</w:t>
      </w:r>
      <w:r>
        <w:t xml:space="preserve"> </w:t>
      </w:r>
      <w:r>
        <w:t xml:space="preserve">(§5.2–§5.4). On MIT-BIH, naive split conformal under-covers a matched</w:t>
      </w:r>
      <w:r>
        <w:t xml:space="preserve"> </w:t>
      </w:r>
      <w:r>
        <w:t xml:space="preserve">permutation null; a factorial design attributes the deficit to clustering</w:t>
      </w:r>
      <w:r>
        <w:t xml:space="preserve"> </w:t>
      </w:r>
      <w:r>
        <w:t xml:space="preserve">rather than unequal block sizes, and in a controlled dose–response experiment</w:t>
      </w:r>
      <w:r>
        <w:t xml:space="preserve"> </w:t>
      </w:r>
      <w:r>
        <w:t xml:space="preserve">it rises with the design effect. PTB-XL falls where the design effect predicts</w:t>
      </w:r>
      <w:r>
        <w:t xml:space="preserve"> </w:t>
      </w:r>
      <w:r>
        <w:t xml:space="preserve">— near zero — despite substantial within-patient correlation.</w:t>
      </w:r>
    </w:p>
    <w:p>
      <w:pPr>
        <w:pStyle w:val="Compact"/>
        <w:numPr>
          <w:ilvl w:val="0"/>
          <w:numId w:val="1001"/>
        </w:numPr>
      </w:pPr>
      <w:r>
        <w:t xml:space="preserve">A caution for evaluating hierarchical conformal methods (§5.3, §6.2). The</w:t>
      </w:r>
      <w:r>
        <w:t xml:space="preserve"> </w:t>
      </w:r>
      <w:r>
        <w:t xml:space="preserve">apparent gain of HCP over naive split conformal persists at 75–110% of its size</w:t>
      </w:r>
      <w:r>
        <w:t xml:space="preserve"> </w:t>
      </w:r>
      <w:r>
        <w:t xml:space="preserve">once within-block dependence is permuted away, so it is largely mechanical. We</w:t>
      </w:r>
      <w:r>
        <w:t xml:space="preserve"> </w:t>
      </w:r>
      <w:r>
        <w:t xml:space="preserve">recommend matched permutation nulls and joint reporting of set size.</w:t>
      </w:r>
    </w:p>
    <w:p>
      <w:pPr>
        <w:pStyle w:val="Compact"/>
        <w:numPr>
          <w:ilvl w:val="0"/>
          <w:numId w:val="1001"/>
        </w:numPr>
      </w:pPr>
      <w:r>
        <w:t xml:space="preserve">Pre-registered robustness checks reported in full (§5.5, §6.4). Every</w:t>
      </w:r>
      <w:r>
        <w:t xml:space="preserve"> </w:t>
      </w:r>
      <w:r>
        <w:t xml:space="preserve">finding keeps its direction across three backbones spanning more than a</w:t>
      </w:r>
      <w:r>
        <w:t xml:space="preserve"> </w:t>
      </w:r>
      <w:r>
        <w:t xml:space="preserve">hundredfold range of parameters and across checkpoints; statistical strength</w:t>
      </w:r>
      <w:r>
        <w:t xml:space="preserve"> </w:t>
      </w:r>
      <w:r>
        <w:t xml:space="preserve">does not, and the backbone that fails the pre-registered criterion is reported.</w:t>
      </w:r>
    </w:p>
    <w:p>
      <w:pPr>
        <w:pStyle w:val="FirstParagraph"/>
        <w:jc w:val="both"/>
      </w:pPr>
      <w:r>
        <w:t xml:space="preserve">All resampling is performed on blocks, the held-out PTB-XL fold was never</w:t>
      </w:r>
      <w:r>
        <w:t xml:space="preserve"> </w:t>
      </w:r>
      <w:r>
        <w:t xml:space="preserve">examined, protocol deviations are logged, and code and per-result artifacts are</w:t>
      </w:r>
      <w:r>
        <w:t xml:space="preserve"> </w:t>
      </w:r>
      <w:r>
        <w:t xml:space="preserve">released with the paper. Section 2 positions the audit, Section 3 states the</w:t>
      </w:r>
      <w:r>
        <w:t xml:space="preserve"> </w:t>
      </w:r>
      <w:r>
        <w:t xml:space="preserve">feasibility conditions, Section 4 describes the design, and Sections 5 and 6</w:t>
      </w:r>
      <w:r>
        <w:t xml:space="preserve"> </w:t>
      </w:r>
      <w:r>
        <w:t xml:space="preserve">report and interpret the results.</w:t>
      </w:r>
    </w:p>
    <w:bookmarkEnd w:id="9"/>
    <w:bookmarkStart w:id="12" w:name="related-work"/>
    <w:p>
      <w:pPr>
        <w:pStyle w:val="Heading1"/>
      </w:pPr>
      <w:r>
        <w:t xml:space="preserve">2. Related Work</w:t>
      </w:r>
    </w:p>
    <w:bookmarkStart w:id="10" w:name="X82604ee80040ca60fd96cad68dfd92d7ce32f61"/>
    <w:p>
      <w:pPr>
        <w:pStyle w:val="Heading2"/>
      </w:pPr>
      <w:r>
        <w:t xml:space="preserve">2.1 Conformal prediction under dependence and for hierarchical data</w:t>
      </w:r>
    </w:p>
    <w:p>
      <w:pPr>
        <w:pStyle w:val="FirstParagraph"/>
        <w:jc w:val="both"/>
      </w:pPr>
      <w:r>
        <w:t xml:space="preserve">Barber et al. bound the coverage gap of conformal prediction by the</w:t>
      </w:r>
      <w:r>
        <w:t xml:space="preserve"> </w:t>
      </w:r>
      <w:r>
        <w:t xml:space="preserve">total-variation distance between the data distribution and its exchangeable</w:t>
      </w:r>
      <w:r>
        <w:t xml:space="preserve"> </w:t>
      </w:r>
      <w:r>
        <w:t xml:space="preserve">counterpart [12]; the bound holds whatever causes the violation but suggests no</w:t>
      </w:r>
      <w:r>
        <w:t xml:space="preserve"> </w:t>
      </w:r>
      <w:r>
        <w:t xml:space="preserve">remedy. Specific departures have been treated separately: covariate shift with</w:t>
      </w:r>
      <w:r>
        <w:t xml:space="preserve"> </w:t>
      </w:r>
      <w:r>
        <w:t xml:space="preserve">known or estimable likelihood ratios [18], spatial data [19] and network</w:t>
      </w:r>
      <w:r>
        <w:t xml:space="preserve"> </w:t>
      </w:r>
      <w:r>
        <w:t xml:space="preserve">dependence [20]. Bhattacharyya and Barber consider groups whose membership</w:t>
      </w:r>
      <w:r>
        <w:t xml:space="preserve"> </w:t>
      </w:r>
      <w:r>
        <w:t xml:space="preserve">determines the covariate shift [21]; there the data stay exchangeable within each</w:t>
      </w:r>
      <w:r>
        <w:t xml:space="preserve"> </w:t>
      </w:r>
      <w:r>
        <w:t xml:space="preserve">group, whereas in our setting group proportions are stable and observations</w:t>
      </w:r>
      <w:r>
        <w:t xml:space="preserve"> </w:t>
      </w:r>
      <w:r>
        <w:t xml:space="preserve">within a block are not exchangeable. Fontana et al. review the framework and its</w:t>
      </w:r>
      <w:r>
        <w:t xml:space="preserve"> </w:t>
      </w:r>
      <w:r>
        <w:t xml:space="preserve">variants [5], including the Mondrian construction, for which calibrated</w:t>
      </w:r>
      <w:r>
        <w:t xml:space="preserve"> </w:t>
      </w:r>
      <w:r>
        <w:t xml:space="preserve">versions have since been developed [22].</w:t>
      </w:r>
    </w:p>
    <w:p>
      <w:pPr>
        <w:pStyle w:val="BodyText"/>
        <w:jc w:val="both"/>
      </w:pPr>
      <w:r>
        <w:t xml:space="preserve">Lee et al. formalized hierarchical exchangeability for groups of repeated</w:t>
      </w:r>
      <w:r>
        <w:t xml:space="preserve"> </w:t>
      </w:r>
      <w:r>
        <w:t xml:space="preserve">measurements and extended both conformal prediction and the jackknife+ [23] to</w:t>
      </w:r>
      <w:r>
        <w:t xml:space="preserve"> </w:t>
      </w:r>
      <w:r>
        <w:t xml:space="preserve">that setting [13]; their threshold and guarantee are restated in (1) and (2).</w:t>
      </w:r>
      <w:r>
        <w:t xml:space="preserve"> </w:t>
      </w:r>
      <w:r>
        <w:t xml:space="preserve">Dunn et al. independently proposed four constructions for two-layer hierarchical</w:t>
      </w:r>
      <w:r>
        <w:t xml:space="preserve"> </w:t>
      </w:r>
      <w:r>
        <w:t xml:space="preserve">models [14]. We take these results as given. Both works are theoretical and</w:t>
      </w:r>
      <w:r>
        <w:t xml:space="preserve"> </w:t>
      </w:r>
      <w:r>
        <w:t xml:space="preserve">evaluate on regression problems ([13] on simulated data and a Lorenz-96 system),</w:t>
      </w:r>
      <w:r>
        <w:t xml:space="preserve"> </w:t>
      </w:r>
      <w:r>
        <w:t xml:space="preserve">and neither asks the question that precedes application: for a given clinical</w:t>
      </w:r>
      <w:r>
        <w:t xml:space="preserve"> </w:t>
      </w:r>
      <w:r>
        <w:t xml:space="preserve">dataset and target error rate, at which grouping, if any, can the guarantee be</w:t>
      </w:r>
      <w:r>
        <w:t xml:space="preserve"> </w:t>
      </w:r>
      <w:r>
        <w:t xml:space="preserve">enforced? Lee et al. point toward it, noting that an analyst may</w:t>
      </w:r>
      <w:r>
        <w:t xml:space="preserve"> </w:t>
      </w:r>
      <w:r>
        <w:t xml:space="preserve">choose between many groups with few measurements or few groups with many</w:t>
      </w:r>
      <w:r>
        <w:t xml:space="preserve"> </w:t>
      </w:r>
      <w:r>
        <w:t xml:space="preserve">repeats, and that</w:t>
      </w:r>
      <w:r>
        <w:t xml:space="preserve"> </w:t>
      </w:r>
      <w:r>
        <w:rPr>
          <w:i/>
          <w:iCs/>
        </w:rPr>
        <w:t xml:space="preserve">characterizing the pros and cons of this tradeoff is an</w:t>
      </w:r>
      <w:r>
        <w:rPr>
          <w:i/>
          <w:iCs/>
        </w:rPr>
        <w:t xml:space="preserve"> </w:t>
      </w:r>
      <w:r>
        <w:rPr>
          <w:i/>
          <w:iCs/>
        </w:rPr>
        <w:t xml:space="preserve">important question to determine how study design affects inference in this</w:t>
      </w:r>
      <w:r>
        <w:rPr>
          <w:i/>
          <w:iCs/>
        </w:rPr>
        <w:t xml:space="preserve"> </w:t>
      </w:r>
      <w:r>
        <w:rPr>
          <w:i/>
          <w:iCs/>
        </w:rPr>
        <w:t xml:space="preserve">distribution-free setting</w:t>
      </w:r>
      <w:r>
        <w:t xml:space="preserve"> </w:t>
      </w:r>
      <w:r>
        <w:t xml:space="preserve">[13]. We address its most elementary part — whether a</w:t>
      </w:r>
      <w:r>
        <w:t xml:space="preserve"> </w:t>
      </w:r>
      <w:r>
        <w:t xml:space="preserve">finite threshold exists for a given design — and then measure what happens on</w:t>
      </w:r>
      <w:r>
        <w:t xml:space="preserve"> </w:t>
      </w:r>
      <w:r>
        <w:t xml:space="preserve">clinical data when it does.</w:t>
      </w:r>
    </w:p>
    <w:bookmarkEnd w:id="10"/>
    <w:bookmarkStart w:id="11" w:name="Xde641f5d420a891fdb073e7aa4fa0944e53f724"/>
    <w:p>
      <w:pPr>
        <w:pStyle w:val="Heading2"/>
      </w:pPr>
      <w:r>
        <w:t xml:space="preserve">2.2 Multi-label, clinical and ECG applications</w:t>
      </w:r>
    </w:p>
    <w:p>
      <w:pPr>
        <w:pStyle w:val="FirstParagraph"/>
        <w:jc w:val="both"/>
      </w:pPr>
      <w:r>
        <w:t xml:space="preserve">Multi-label conformal methods, reviewed by Papadopoulos [24], model dependence</w:t>
      </w:r>
      <w:r>
        <w:t xml:space="preserve"> </w:t>
      </w:r>
      <w:r>
        <w:t xml:space="preserve">between labels while assuming exchangeable samples; our setting requires the</w:t>
      </w:r>
      <w:r>
        <w:t xml:space="preserve"> </w:t>
      </w:r>
      <w:r>
        <w:t xml:space="preserve">converse. Maltoudoglou et al. prune Label Powerset conformal prediction to reduce</w:t>
      </w:r>
      <w:r>
        <w:t xml:space="preserve"> </w:t>
      </w:r>
      <w:r>
        <w:t xml:space="preserve">its cost [25], and hierarchical multi-label classification without conformal</w:t>
      </w:r>
      <w:r>
        <w:t xml:space="preserve"> </w:t>
      </w:r>
      <w:r>
        <w:t xml:space="preserve">guarantees is well developed [26], [27]. Baheri and Shahbazi calibrate at several</w:t>
      </w:r>
      <w:r>
        <w:t xml:space="preserve"> </w:t>
      </w:r>
      <w:r>
        <w:t xml:space="preserve">resolutions of a label hierarchy and intersect the resulting sets [28], and Zhang</w:t>
      </w:r>
      <w:r>
        <w:t xml:space="preserve"> </w:t>
      </w:r>
      <w:r>
        <w:t xml:space="preserve">et al. represent prediction sets as nodes of a label graph [29]. Both</w:t>
      </w:r>
      <w:r>
        <w:t xml:space="preserve"> </w:t>
      </w:r>
      <w:r>
        <w:t xml:space="preserve">concern structure among labels; we use the hierarchy only to count calibration</w:t>
      </w:r>
      <w:r>
        <w:t xml:space="preserve"> </w:t>
      </w:r>
      <w:r>
        <w:t xml:space="preserve">blocks per label (§3.4).</w:t>
      </w:r>
    </w:p>
    <w:p>
      <w:pPr>
        <w:pStyle w:val="BodyText"/>
        <w:jc w:val="both"/>
      </w:pPr>
      <w:r>
        <w:t xml:space="preserve">Strodthoff et al. established the PTB-XL benchmarks [1] on the dataset of</w:t>
      </w:r>
      <w:r>
        <w:t xml:space="preserve"> </w:t>
      </w:r>
      <w:r>
        <w:t xml:space="preserve">[2], [15]; their residual architectures inform our backbones. Heartbeat-level</w:t>
      </w:r>
      <w:r>
        <w:t xml:space="preserve"> </w:t>
      </w:r>
      <w:r>
        <w:t xml:space="preserve">evaluation follows the inter-patient protocol, in which no subject contributes to</w:t>
      </w:r>
      <w:r>
        <w:t xml:space="preserve"> </w:t>
      </w:r>
      <w:r>
        <w:t xml:space="preserve">both training and evaluation [30], [31], because violating it inflates reported</w:t>
      </w:r>
      <w:r>
        <w:t xml:space="preserve"> </w:t>
      </w:r>
      <w:r>
        <w:t xml:space="preserve">performance [32]. Conformal prediction in clinical medicine is surveyed in [6],</w:t>
      </w:r>
      <w:r>
        <w:t xml:space="preserve"> </w:t>
      </w:r>
      <w:r>
        <w:t xml:space="preserve">with applications to anatomical landmark localization [33] and multi-label</w:t>
      </w:r>
      <w:r>
        <w:t xml:space="preserve"> </w:t>
      </w:r>
      <w:r>
        <w:t xml:space="preserve">diagnosis coding [7]; conformal risk control [34] and conformal prediction for</w:t>
      </w:r>
      <w:r>
        <w:t xml:space="preserve"> </w:t>
      </w:r>
      <w:r>
        <w:t xml:space="preserve">time series [35] extend the framework to general losses and to temporal data.</w:t>
      </w:r>
    </w:p>
    <w:p>
      <w:pPr>
        <w:pStyle w:val="BodyText"/>
        <w:jc w:val="both"/>
      </w:pPr>
      <w:r>
        <w:t xml:space="preserve">Recent cardiac studies come closer to our question. El Allam and Hamlich</w:t>
      </w:r>
      <w:r>
        <w:t xml:space="preserve"> </w:t>
      </w:r>
      <w:r>
        <w:t xml:space="preserve">calibrate label-conditional Mondrian conformal prediction on patient-disjoint</w:t>
      </w:r>
      <w:r>
        <w:t xml:space="preserve"> </w:t>
      </w:r>
      <w:r>
        <w:t xml:space="preserve">PTB-XL partitions and show that calibration must match the quantized model</w:t>
      </w:r>
      <w:r>
        <w:t xml:space="preserve"> </w:t>
      </w:r>
      <w:r>
        <w:t xml:space="preserve">actually deployed [8]; they also extend conformal inference to edge-deployed</w:t>
      </w:r>
      <w:r>
        <w:t xml:space="preserve"> </w:t>
      </w:r>
      <w:r>
        <w:t xml:space="preserve">wearables [9]. Kinalioğlu shows, for PPG-based ICU arrhythmia classification,</w:t>
      </w:r>
      <w:r>
        <w:t xml:space="preserve"> </w:t>
      </w:r>
      <w:r>
        <w:t xml:space="preserve">that marginal coverage can hide per-class and per-patient failures [10]. Closest</w:t>
      </w:r>
      <w:r>
        <w:t xml:space="preserve"> </w:t>
      </w:r>
      <w:r>
        <w:t xml:space="preserve">to the present study, Sim and Kim show that in ECG monitoring the false-alarm</w:t>
      </w:r>
      <w:r>
        <w:t xml:space="preserve"> </w:t>
      </w:r>
      <w:r>
        <w:t xml:space="preserve">bound of split conformal prediction counts exchangeable subjects rather than</w:t>
      </w:r>
      <w:r>
        <w:t xml:space="preserve"> </w:t>
      </w:r>
      <w:r>
        <w:t xml:space="preserve">beats, so that too few calibration subjects inflate the realized false-alarm</w:t>
      </w:r>
      <w:r>
        <w:t xml:space="preserve"> </w:t>
      </w:r>
      <w:r>
        <w:t xml:space="preserve">rate and the unit carrying the guarantee must be the unit raising alarms [11].</w:t>
      </w:r>
      <w:r>
        <w:t xml:space="preserve"> </w:t>
      </w:r>
      <w:r>
        <w:t xml:space="preserve">Outside cardiology, group-aware conformal calibration has been applied to</w:t>
      </w:r>
      <w:r>
        <w:t xml:space="preserve"> </w:t>
      </w:r>
      <w:r>
        <w:t xml:space="preserve">patients nested in thousands of hospitals [36].</w:t>
      </w:r>
    </w:p>
    <w:p>
      <w:pPr>
        <w:pStyle w:val="BodyText"/>
        <w:jc w:val="both"/>
      </w:pPr>
      <w:r>
        <w:rPr>
          <w:b/>
          <w:bCs/>
        </w:rPr>
        <w:t xml:space="preserve">Position of this study.</w:t>
      </w:r>
      <w:r>
        <w:t xml:space="preserve"> </w:t>
      </w:r>
      <w:r>
        <w:t xml:space="preserve">These studies ask whether a procedure meets its</w:t>
      </w:r>
      <w:r>
        <w:t xml:space="preserve"> </w:t>
      </w:r>
      <w:r>
        <w:t xml:space="preserve">target on a given split. We ask two earlier questions: whether a block-level</w:t>
      </w:r>
      <w:r>
        <w:t xml:space="preserve"> </w:t>
      </w:r>
      <w:r>
        <w:t xml:space="preserve">guarantee is feasible once every declared dependence source — including crossed</w:t>
      </w:r>
      <w:r>
        <w:t xml:space="preserve"> </w:t>
      </w:r>
      <w:r>
        <w:t xml:space="preserve">sources and label-level conditioning — is respected, and whether ignoring block</w:t>
      </w:r>
      <w:r>
        <w:t xml:space="preserve"> </w:t>
      </w:r>
      <w:r>
        <w:t xml:space="preserve">structure costs coverage once the mechanical effect of the finite-block</w:t>
      </w:r>
      <w:r>
        <w:t xml:space="preserve"> </w:t>
      </w:r>
      <w:r>
        <w:t xml:space="preserve">correction is controlled. The contribution is an audit of design-stage</w:t>
      </w:r>
      <w:r>
        <w:t xml:space="preserve"> </w:t>
      </w:r>
      <w:r>
        <w:t xml:space="preserve">feasibility and of the attribution of coverage loss, not a new conformal</w:t>
      </w:r>
      <w:r>
        <w:t xml:space="preserve"> </w:t>
      </w:r>
      <w:r>
        <w:t xml:space="preserve">procedure.</w:t>
      </w:r>
    </w:p>
    <w:bookmarkEnd w:id="11"/>
    <w:bookmarkEnd w:id="12"/>
    <w:bookmarkStart w:id="20" w:name="problem-formulation-and-hcp-feasibility"/>
    <w:p>
      <w:pPr>
        <w:pStyle w:val="Heading1"/>
      </w:pPr>
      <w:r>
        <w:t xml:space="preserve">3. Problem Formulation and HCP Feasibility</w:t>
      </w:r>
    </w:p>
    <w:p>
      <w:pPr>
        <w:pStyle w:val="FirstParagraph"/>
        <w:jc w:val="both"/>
      </w:pPr>
      <w:r>
        <w:t xml:space="preserve">Section 3.1 restates the framework of Lee et al. [13] to fix notation; none of it</w:t>
      </w:r>
      <w:r>
        <w:t xml:space="preserve"> </w:t>
      </w:r>
      <w:r>
        <w:t xml:space="preserve">is claimed as ours. Sections 3.2–3.4 derive three feasibility diagnostics from</w:t>
      </w:r>
      <w:r>
        <w:t xml:space="preserve"> </w:t>
      </w:r>
      <w:r>
        <w:t xml:space="preserve">established results and cite the source of each where it enters, so that</w:t>
      </w:r>
      <w:r>
        <w:t xml:space="preserve"> </w:t>
      </w:r>
      <w:r>
        <w:t xml:space="preserve">borrowed tools are not mistaken for findings.</w:t>
      </w:r>
    </w:p>
    <w:bookmarkStart w:id="13" w:name="hierarchical-calibration"/>
    <w:p>
      <w:pPr>
        <w:pStyle w:val="Heading2"/>
      </w:pPr>
      <w:r>
        <w:t xml:space="preserve">3.1 Hierarchical calibration</w:t>
      </w:r>
    </w:p>
    <w:p>
      <w:pPr>
        <w:pStyle w:val="FirstParagraph"/>
        <w:jc w:val="both"/>
      </w:pPr>
      <w:r>
        <w:t xml:space="preserve">The calibration data consist of</w:t>
      </w:r>
      <w:r>
        <w:t xml:space="preserve"> </w:t>
      </w:r>
      <m:oMath>
        <m:r>
          <m:t>K</m:t>
        </m:r>
      </m:oMath>
      <w:r>
        <w:t xml:space="preserve"> </w:t>
      </w:r>
      <w:r>
        <w:t xml:space="preserve">blocks, block</w:t>
      </w:r>
      <w:r>
        <w:t xml:space="preserve"> </w:t>
      </w:r>
      <m:oMath>
        <m:r>
          <m:t>k</m:t>
        </m:r>
      </m:oMath>
      <w:r>
        <w:t xml:space="preserve"> </w:t>
      </w:r>
      <w:r>
        <w:t xml:space="preserve">holding</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with</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w:t>
      </w:r>
      <w:r>
        <w:t xml:space="preserve">and</w:t>
      </w:r>
      <w:r>
        <w:t xml:space="preserve"> </w:t>
      </w:r>
      <m:oMath>
        <m:r>
          <m:t>H</m:t>
        </m:r>
      </m:oMath>
      <w:r>
        <w:t xml:space="preserve"> </w:t>
      </w:r>
      <w:r>
        <w:t xml:space="preserve">the harmonic mean of the</w:t>
      </w:r>
      <w:r>
        <w:t xml:space="preserve"> </w:t>
      </w:r>
      <m:oMath>
        <m:sSub>
          <m:e>
            <m:r>
              <m:t>N</m:t>
            </m:r>
          </m:e>
          <m:sub>
            <m:r>
              <m:t>k</m:t>
            </m:r>
          </m:sub>
        </m:sSub>
      </m:oMath>
      <w:r>
        <w:t xml:space="preserve">. Here a block is typically a patient and an observation a 10-second</w:t>
      </w:r>
      <w:r>
        <w:t xml:space="preserve"> </w:t>
      </w:r>
      <w:r>
        <w:t xml:space="preserve">recording, but the framework does not depend on what defines a block. Lee et al.</w:t>
      </w:r>
      <w:r>
        <w:t xml:space="preserve"> </w:t>
      </w:r>
      <w:r>
        <w:t xml:space="preserve">[13] show that standard exchangeability fails when observations are nested</w:t>
      </w:r>
      <w:r>
        <w:t xml:space="preserve"> </w:t>
      </w:r>
      <w:r>
        <w:t xml:space="preserve">within groups and introduce hierarchical exchangeability: blocks are</w:t>
      </w:r>
      <w:r>
        <w:t xml:space="preserve"> </w:t>
      </w:r>
      <w:r>
        <w:t xml:space="preserve">exchangeable with one another and observations are exchangeable within each</w:t>
      </w:r>
      <w:r>
        <w:t xml:space="preserve"> </w:t>
      </w:r>
      <w:r>
        <w:t xml:space="preserve">block, but not across the pooled sample.</w:t>
      </w:r>
    </w:p>
    <w:p>
      <w:pPr>
        <w:pStyle w:val="BodyText"/>
        <w:jc w:val="both"/>
      </w:pPr>
      <w:r>
        <w:t xml:space="preserve">Let</w:t>
      </w:r>
      <w:r>
        <w:t xml:space="preserve"> </w:t>
      </w:r>
      <m:oMath>
        <m:r>
          <m:t>s</m:t>
        </m:r>
        <m:r>
          <m:rPr>
            <m:sty m:val="p"/>
          </m:rPr>
          <m:t>(</m:t>
        </m:r>
        <m:r>
          <m:rPr>
            <m:sty m:val="p"/>
          </m:rPr>
          <m:t>⋅</m:t>
        </m:r>
        <m:r>
          <m:rPr>
            <m:sty m:val="p"/>
          </m:rPr>
          <m:t>)</m:t>
        </m:r>
      </m:oMath>
      <w:r>
        <w:t xml:space="preserve"> </w:t>
      </w:r>
      <w:r>
        <w:t xml:space="preserve">be a nonconformity score fixed independently of the calibration</w:t>
      </w:r>
      <w:r>
        <w:t xml:space="preserve"> </w:t>
      </w:r>
      <w:r>
        <w:t xml:space="preserve">data, write</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let</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be</w:t>
      </w:r>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w:t>
      </w:r>
      <w:r>
        <w:t xml:space="preserve"> </w:t>
      </w:r>
      <w:r>
        <w:t xml:space="preserve">With</w:t>
      </w:r>
      <w:r>
        <w:t xml:space="preserve"> </w:t>
      </w:r>
      <m:oMath>
        <m:sSub>
          <m:e>
            <m:r>
              <m:t>K</m:t>
            </m:r>
          </m:e>
          <m:sub>
            <m:r>
              <m:t>1</m:t>
            </m:r>
          </m:sub>
        </m:sSub>
      </m:oMath>
      <w:r>
        <w:t xml:space="preserve"> </w:t>
      </w:r>
      <w:r>
        <w:t xml:space="preserve">calibration blocks, HCP sets the threshold</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carries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shared evenly among its</w:t>
      </w:r>
      <w:r>
        <w:t xml:space="preserve"> </w:t>
      </w:r>
      <m:oMath>
        <m:sSub>
          <m:e>
            <m:r>
              <m:t>N</m:t>
            </m:r>
          </m:e>
          <m:sub>
            <m:r>
              <m:t>k</m:t>
            </m:r>
          </m:sub>
        </m:sSub>
      </m:oMath>
      <w:r>
        <w:t xml:space="preserve"> </w:t>
      </w:r>
      <w:r>
        <w:t xml:space="preserve">observations, 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w:t>
      </w:r>
      <w:r>
        <w:t xml:space="preserve">— the price of not</w:t>
      </w:r>
      <w:r>
        <w:t xml:space="preserve"> </w:t>
      </w:r>
      <w:r>
        <w:t xml:space="preserve">knowing the test block in advance. For a test point from a previously unseen</w:t>
      </w:r>
      <w:r>
        <w:t xml:space="preserve"> </w:t>
      </w:r>
      <w:r>
        <w:t xml:space="preserve">block, Lee et al. [13, Th. 1] prove</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3"/>
    <w:bookmarkStart w:id="14" w:name="finite-threshold-feasibility"/>
    <w:p>
      <w:pPr>
        <w:pStyle w:val="Heading2"/>
      </w:pPr>
      <w:r>
        <w:t xml:space="preserve">3.2 Finite-threshold feasibility</w:t>
      </w:r>
    </w:p>
    <w:p>
      <w:pPr>
        <w:pStyle w:val="FirstParagraph"/>
        <w:jc w:val="both"/>
      </w:pPr>
      <w:r>
        <w:t xml:space="preserve">Equation (1) fixes the threshold 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given, but</w:t>
      </w:r>
      <w:r>
        <w:t xml:space="preserve"> </w:t>
      </w:r>
      <w:r>
        <w:t xml:space="preserve">does not say whether the resulting 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When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vacuously.</w:t>
      </w:r>
      <w:r>
        <w:t xml:space="preserve"> </w:t>
      </w:r>
      <w:r>
        <w:t xml:space="preserve">Proposition 1 restates a consequence of the</w:t>
      </w:r>
      <w:r>
        <w:t xml:space="preserve"> </w:t>
      </w:r>
      <m:oMath>
        <m:r>
          <m:rPr>
            <m:sty m:val="p"/>
          </m:rPr>
          <m:t>+</m:t>
        </m:r>
        <m:r>
          <m:rPr>
            <m:sty m:val="p"/>
          </m:rPr>
          <m:t>∞</m:t>
        </m:r>
      </m:oMath>
      <w:r>
        <w:t xml:space="preserve"> </w:t>
      </w:r>
      <w:r>
        <w:t xml:space="preserve">atom in Theorem 1 of [13]</w:t>
      </w:r>
      <w:r>
        <w:t xml:space="preserve"> </w:t>
      </w:r>
      <w:r>
        <w:t xml:space="preserve">in a form checkable from metadata, and we claim nothing beyond that. Three of its</w:t>
      </w:r>
      <w:r>
        <w:t xml:space="preserve"> </w:t>
      </w:r>
      <w:r>
        <w:t xml:space="preserve">features matter here: the bound does not involve</w:t>
      </w:r>
      <w:r>
        <w:t xml:space="preserve"> </w:t>
      </w:r>
      <m:oMath>
        <m:sSub>
          <m:e>
            <m:r>
              <m:t>N</m:t>
            </m:r>
          </m:e>
          <m:sub>
            <m:r>
              <m:t>k</m:t>
            </m:r>
          </m:sub>
        </m:sSub>
      </m:oMath>
      <w:r>
        <w:t xml:space="preserve">, so more measurements per</w:t>
      </w:r>
      <w:r>
        <w:t xml:space="preserve"> </w:t>
      </w:r>
      <w:r>
        <w:t xml:space="preserve">block can never restore feasibility; it is not strict, so a grouping lying on it</w:t>
      </w:r>
      <w:r>
        <w:t xml:space="preserve"> </w:t>
      </w:r>
      <w:r>
        <w:t xml:space="preserve">is feasible (Appendix A.1); and with</w:t>
      </w:r>
      <w:r>
        <w:t xml:space="preserve"> </w:t>
      </w:r>
      <m:oMath>
        <m:sSub>
          <m:e>
            <m:r>
              <m:t>N</m:t>
            </m:r>
          </m:e>
          <m:sub>
            <m:r>
              <m:t>k</m:t>
            </m:r>
          </m:sub>
        </m:sSub>
        <m:r>
          <m:rPr>
            <m:sty m:val="p"/>
          </m:rPr>
          <m:t>=</m:t>
        </m:r>
        <m:r>
          <m:t>1</m:t>
        </m:r>
      </m:oMath>
      <w:r>
        <w:t xml:space="preserve"> </w:t>
      </w:r>
      <w:r>
        <w:t xml:space="preserve">for all</w:t>
      </w:r>
      <w:r>
        <w:t xml:space="preserve"> </w:t>
      </w:r>
      <m:oMath>
        <m:r>
          <m:t>k</m:t>
        </m:r>
      </m:oMath>
      <w:r>
        <w:t xml:space="preserve"> </w:t>
      </w:r>
      <w:r>
        <w:t xml:space="preserve">it reduces to the</w:t>
      </w:r>
      <w:r>
        <w:t xml:space="preserve"> </w:t>
      </w:r>
      <w:r>
        <w:t xml:space="preserve">familiar split-conformal requirement</w:t>
      </w:r>
      <w:r>
        <w:t xml:space="preserve"> </w:t>
      </w:r>
      <m:oMath>
        <m:r>
          <m:t>n</m:t>
        </m:r>
        <m:r>
          <m:rPr>
            <m:sty m:val="p"/>
          </m:rPr>
          <m:t>≥</m:t>
        </m:r>
        <m:r>
          <m:t>1</m:t>
        </m:r>
        <m:r>
          <m:rPr>
            <m:sty m:val="p"/>
          </m:rPr>
          <m:t>/</m:t>
        </m:r>
        <m:r>
          <m:t>α</m:t>
        </m:r>
        <m:r>
          <m:rPr>
            <m:sty m:val="p"/>
          </m:rPr>
          <m:t>−</m:t>
        </m:r>
        <m:r>
          <m:t>1</m:t>
        </m:r>
      </m:oMath>
      <w:r>
        <w:t xml:space="preserve">, which we also verified</w:t>
      </w:r>
      <w:r>
        <w:t xml:space="preserve"> </w:t>
      </w:r>
      <w:r>
        <w:t xml:space="preserve">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Feasibility is distribution-free; precision is not. It requires</w:t>
      </w:r>
      <w:r>
        <w:t xml:space="preserve"> </w:t>
      </w:r>
      <w:r>
        <w:rPr>
          <w:b/>
          <w:bCs/>
        </w:rPr>
        <w:t xml:space="preserve">Assumption (A)</w:t>
      </w:r>
      <w:r>
        <w:t xml:space="preserve">: blocks are independent and identically distributed, and every</w:t>
      </w:r>
      <w:r>
        <w:t xml:space="preserve"> </w:t>
      </w:r>
      <w:r>
        <w:t xml:space="preserve">pair of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has the same correlation</w:t>
      </w:r>
      <w:r>
        <w:t xml:space="preserve"> </w:t>
      </w:r>
      <m:oMath>
        <m:r>
          <m:t>ρ</m:t>
        </m:r>
        <m:r>
          <m:rPr>
            <m:sty m:val="p"/>
          </m:rPr>
          <m:t>(</m:t>
        </m:r>
        <m:r>
          <m:t>t</m:t>
        </m:r>
        <m:r>
          <m:rPr>
            <m:sty m:val="p"/>
          </m:rPr>
          <m:t>)</m:t>
        </m:r>
      </m:oMath>
      <w:r>
        <w:t xml:space="preserve">, which does not depend on</w:t>
      </w:r>
      <w:r>
        <w:t xml:space="preserve"> </w:t>
      </w:r>
      <m:oMath>
        <m:sSub>
          <m:e>
            <m:r>
              <m:t>N</m:t>
            </m:r>
          </m:e>
          <m:sub>
            <m:r>
              <m:t>k</m:t>
            </m:r>
          </m:sub>
        </m:sSub>
      </m:oMath>
      <w:r>
        <w:t xml:space="preserve"> </w:t>
      </w:r>
      <w:r>
        <w:t xml:space="preserve">(compound symmetry). Here</w:t>
      </w:r>
      <w:r>
        <w:t xml:space="preserve"> </w:t>
      </w:r>
      <m:oMath>
        <m:r>
          <m:t>ρ</m:t>
        </m:r>
        <m:r>
          <m:rPr>
            <m:sty m:val="p"/>
          </m:rPr>
          <m:t>(</m:t>
        </m:r>
        <m:r>
          <m:t>t</m:t>
        </m:r>
        <m:r>
          <m:rPr>
            <m:sty m:val="p"/>
          </m:rPr>
          <m:t>)</m:t>
        </m:r>
      </m:oMath>
      <w:r>
        <w:t xml:space="preserve"> </w:t>
      </w:r>
      <w:r>
        <w:t xml:space="preserve">is</w:t>
      </w:r>
      <w:r>
        <w:t xml:space="preserve"> </w:t>
      </w:r>
      <w:r>
        <w:t xml:space="preserve">the intraclass correlation of the indicator at threshold</w:t>
      </w:r>
      <w:r>
        <w:t xml:space="preserve"> </w:t>
      </w:r>
      <m:oMath>
        <m:r>
          <m:t>t</m:t>
        </m:r>
      </m:oMath>
      <w:r>
        <w:t xml:space="preserve">, not of the raw</w:t>
      </w:r>
      <w:r>
        <w:t xml:space="preserve"> </w:t>
      </w:r>
      <w:r>
        <w:t xml:space="preserve">score. The HCP threshold is determined by</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w:t>
      </w:r>
      <w:r>
        <w:t xml:space="preserve"> </w:t>
      </w:r>
      <w:r>
        <w:t xml:space="preserve">the unweighted mean of block-level empirical CDFs, whose variance under (A) is</w:t>
      </w:r>
      <w:r>
        <w:t xml:space="preserve"> </w:t>
      </w:r>
      <w:r>
        <w:t xml:space="preserve">the standard one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variance belongs to a block-weighted estimator, whereas the</w:t>
      </w:r>
      <w:r>
        <w:t xml:space="preserve"> </w:t>
      </w:r>
      <w:r>
        <w:t xml:space="preserve">Kish effective sample size describes an observation-weighted one, and the two</w:t>
      </w:r>
      <w:r>
        <w:t xml:space="preserve"> </w:t>
      </w:r>
      <w:r>
        <w:t xml:space="preserve">design effects coincide only for uniform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(6)</m:t>
          </m:r>
        </m:oMath>
      </m:oMathPara>
    </w:p>
    <w:p>
      <w:pPr>
        <w:pStyle w:val="FirstParagraph"/>
        <w:jc w:val="both"/>
      </w:pPr>
      <w:r>
        <w:t xml:space="preserve">The second is the standard design effect for unequal cluster sizes, and equal</w:t>
      </w:r>
      <w:r>
        <w:t xml:space="preserve"> </w:t>
      </w:r>
      <w:r>
        <w:t xml:space="preserve">versus size weighting of cluster means is a familiar choice in cluster-randomized</w:t>
      </w:r>
      <w:r>
        <w:t xml:space="preserve"> </w:t>
      </w:r>
      <w:r>
        <w:t xml:space="preserve">trials, where equal weighting is known to be inefficient under unequal cluster</w:t>
      </w:r>
      <w:r>
        <w:t xml:space="preserve"> </w:t>
      </w:r>
      <w:r>
        <w:t xml:space="preserve">sizes and is usually replaced by minimum-variance weights [38], [39]. In HCP it is</w:t>
      </w:r>
      <w:r>
        <w:t xml:space="preserve"> </w:t>
      </w:r>
      <w:r>
        <w:t xml:space="preserve">not a choice: it is fixed by the structure of the threshold, and departing from</w:t>
      </w:r>
      <w:r>
        <w:t xml:space="preserve"> </w:t>
      </w:r>
      <w:r>
        <w:t xml:space="preserve">it can break the guarantee rather than merely cost efficiency (Appendix A.3).</w:t>
      </w:r>
      <w:r>
        <w:t xml:space="preserve"> </w:t>
      </w:r>
      <w:r>
        <w:t xml:space="preserve">The practitioner is thus bound to the estimator that cluster-sampling theory</w:t>
      </w:r>
      <w:r>
        <w:t xml:space="preserve"> </w:t>
      </w:r>
      <w:r>
        <w:t xml:space="preserve">finds most affected by block imbalance, without its usual remedy; we report this</w:t>
      </w:r>
      <w:r>
        <w:t xml:space="preserve"> </w:t>
      </w:r>
      <w:r>
        <w:t xml:space="preserve">as an observation and do not prove that equal weights are the only valid choice.</w:t>
      </w:r>
      <w:r>
        <w:t xml:space="preserve"> </w:t>
      </w:r>
      <w:r>
        <w:t xml:space="preserve">On PTB-XL the two design effects differ by a factor of 15.7 at the site level,</w:t>
      </w:r>
      <w:r>
        <w:t xml:space="preserve"> </w:t>
      </w:r>
      <w:r>
        <w:t xml:space="preserve">and on</w:t>
      </w:r>
      <w:r>
        <w:t xml:space="preserve"> </w:t>
      </w:r>
      <w:r>
        <w:rPr>
          <w:rStyle w:val="VerbatimChar"/>
        </w:rPr>
        <w:t xml:space="preserve">strat_fold</w:t>
      </w:r>
      <w:r>
        <w:t xml:space="preserve">, whose blocks are nearly uniform by construction, their ratio</w:t>
      </w:r>
      <w:r>
        <w:t xml:space="preserve"> </w:t>
      </w:r>
      <w:r>
        <w:t xml:space="preserve">is 1.000, an internal check of the computation.</w:t>
      </w:r>
    </w:p>
    <w:p>
      <w:pPr>
        <w:pStyle w:val="BodyText"/>
        <w:jc w:val="both"/>
      </w:pPr>
      <w:r>
        <w:rPr>
          <w:b/>
          <w:bCs/>
        </w:rPr>
        <w:t xml:space="preserve">The axis used to organize results.</w:t>
      </w:r>
      <w:r>
        <w:t xml:space="preserve"> </w:t>
      </w:r>
      <w:r>
        <w:t xml:space="preserve">To compare datasets with very different</w:t>
      </w:r>
      <w:r>
        <w:t xml:space="preserve"> </w:t>
      </w:r>
      <w:r>
        <w:t xml:space="preserve">block geometry we order configurations by the variance-inflation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factor</w:t>
      </w:r>
      <w:r>
        <w:t xml:space="preserve"> </w:t>
      </w:r>
      <w:r>
        <w:t xml:space="preserve">predicts that dependence is harmless whenever blocks are near-singleton, however</w:t>
      </w:r>
      <w:r>
        <w:t xml:space="preserve"> </w:t>
      </w:r>
      <w:r>
        <w:t xml:space="preserve">strong the within-block correlation — the opposite of what raw</w:t>
      </w:r>
      <w:r>
        <w:t xml:space="preserve"> </w:t>
      </w:r>
      <m:oMath>
        <m:r>
          <m:t>ρ</m:t>
        </m:r>
      </m:oMath>
      <w:r>
        <w:t xml:space="preserve"> </w:t>
      </w:r>
      <w:r>
        <w:t xml:space="preserve">suggests.</w:t>
      </w:r>
      <w:r>
        <w:t xml:space="preserve"> </w:t>
      </w:r>
      <w:r>
        <w:t xml:space="preserve">The primary analysis takes</w:t>
      </w:r>
      <w:r>
        <w:t xml:space="preserve"> </w:t>
      </w:r>
      <m:oMath>
        <m:r>
          <m:t>ρ</m:t>
        </m:r>
      </m:oMath>
      <w:r>
        <w:t xml:space="preserve"> </w:t>
      </w:r>
      <w:r>
        <w:t xml:space="preserve">from conformity scores and is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 when the axis was adopted is recorded in</w:t>
      </w:r>
      <w:r>
        <w:t xml:space="preserve"> </w:t>
      </w:r>
      <w:r>
        <w:t xml:space="preserve">§6.4. The axis only orders configurations and is not a calibrated effective</w:t>
      </w:r>
      <w:r>
        <w:t xml:space="preserve"> </w:t>
      </w:r>
      <w:r>
        <w:t xml:space="preserve">sample size: Noonan derives a closed-form effective sample size for thresholds</w:t>
      </w:r>
      <w:r>
        <w:t xml:space="preserve"> </w:t>
      </w:r>
      <w:r>
        <w:t xml:space="preserve">under clustering and shows that the correction currently used in the conformal</w:t>
      </w:r>
      <w:r>
        <w:t xml:space="preserve"> </w:t>
      </w:r>
      <w:r>
        <w:t xml:space="preserve">literature is the wrong quantity [40]. Our axis shares its central ingredient,</w:t>
      </w:r>
      <w:r>
        <w:t xml:space="preserve"> </w:t>
      </w:r>
      <w:r>
        <w:t xml:space="preserve">the correlation of threshold indicators, but is a heuristic under (A), and we</w:t>
      </w:r>
      <w:r>
        <w:t xml:space="preserve"> </w:t>
      </w:r>
      <w:r>
        <w:t xml:space="preserve">defer to that work for the principled quantity.</w:t>
      </w:r>
    </w:p>
    <w:bookmarkEnd w:id="14"/>
    <w:bookmarkStart w:id="18" w:name="crossed-dependence-sources"/>
    <w:p>
      <w:pPr>
        <w:pStyle w:val="Heading2"/>
      </w:pPr>
      <w:r>
        <w:t xml:space="preserve">3.3 Crossed dependence sources</w:t>
      </w:r>
    </w:p>
    <w:p>
      <w:pPr>
        <w:pStyle w:val="FirstParagraph"/>
        <w:jc w:val="both"/>
      </w:pPr>
      <w:r>
        <w:t xml:space="preserve">Clinical datasets often carry several candidate blocking variables at once —</w:t>
      </w:r>
      <w:r>
        <w:t xml:space="preserve"> </w:t>
      </w:r>
      <w:r>
        <w:t xml:space="preserve">patient, device, operator, site — and these need not be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This is a standard fact about partition lattices; its consequence for</w:t>
      </w:r>
      <w:r>
        <w:t xml:space="preserve"> </w:t>
      </w:r>
      <w:r>
        <w:t xml:space="preserve">calibration is what matters here. Fig. 1 illustrates it on eight hypothetical</w:t>
      </w:r>
      <w:r>
        <w:t xml:space="preserve"> </w:t>
      </w:r>
      <w:r>
        <w:t xml:space="preserve">records: five patient blocks and three device blocks, each fine on its own,</w:t>
      </w:r>
      <w:r>
        <w:t xml:space="preserve"> </w:t>
      </w:r>
      <w:r>
        <w:t xml:space="preserve">leave only two blocks once both sources must be respected.</w:t>
      </w:r>
    </w:p>
    <w:p>
      <w:pPr>
        <w:pStyle w:val="CaptionedFigure"/>
        <w:jc w:val="both"/>
      </w:pPr>
      <w:r>
        <w:drawing>
          <wp:inline>
            <wp:extent cx="3108960" cy="1073695"/>
            <wp:effectExtent b="0" l="0" r="0" t="0"/>
            <wp:docPr descr="Fig. 1.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 title="" id="16" name="Picture"/>
            <a:graphic>
              <a:graphicData uri="http://schemas.openxmlformats.org/drawingml/2006/picture">
                <pic:pic>
                  <pic:nvPicPr>
                    <pic:cNvPr descr="figures/fig1_join_schematic.png" id="17" name="Picture"/>
                    <pic:cNvPicPr>
                      <a:picLocks noChangeArrowheads="1" noChangeAspect="1"/>
                    </pic:cNvPicPr>
                  </pic:nvPicPr>
                  <pic:blipFill>
                    <a:blip r:embed="rId15"/>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1.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the HCP/Dunn family. Whether</w:t>
      </w:r>
      <w:r>
        <w:t xml:space="preserve"> </w:t>
      </w:r>
      <w:r>
        <w:t xml:space="preserve">it extends to every distribution-free method whose validity rests on</w:t>
      </w:r>
      <w:r>
        <w:t xml:space="preserve"> </w:t>
      </w:r>
      <w:r>
        <w:t xml:space="preserve">between-block exchangeability remains open. We conjecture that it does, by</w:t>
      </w:r>
      <w:r>
        <w:t xml:space="preserve"> </w:t>
      </w:r>
      <w:r>
        <w:t xml:space="preserve">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w:t>
      </w:r>
      <w:r>
        <w:t xml:space="preserve"> </w:t>
      </w:r>
      <w:r>
        <w:t xml:space="preserve">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satisfies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is nested within</w:t>
      </w:r>
      <w:r>
        <w:t xml:space="preserve"> </w:t>
      </w:r>
      <m:oMath>
        <m:r>
          <m:t>g</m:t>
        </m:r>
      </m:oMath>
      <w:r>
        <w:t xml:space="preserve"> </w:t>
      </w:r>
      <w:r>
        <w:t xml:space="preserve">(exact, given the declaration). S1 alone is not</w:t>
      </w:r>
      <w:r>
        <w:t xml:space="preserve"> </w:t>
      </w:r>
      <w:r>
        <w:t xml:space="preserve">enough, because a grouping can admit a finite threshold while leaving dependence</w:t>
      </w:r>
      <w:r>
        <w:t xml:space="preserve"> </w:t>
      </w:r>
      <w:r>
        <w:t xml:space="preserve">across its blocks unaccounted for. S2 is only as complete as the declared list:</w:t>
      </w:r>
      <w:r>
        <w:t xml:space="preserve"> </w:t>
      </w:r>
      <w:r>
        <w:t xml:space="preserve">an undeclared source passes vacuously, so S2 checks the consistency of a stated</w:t>
      </w:r>
      <w:r>
        <w:t xml:space="preserve"> </w:t>
      </w:r>
      <w:r>
        <w:t xml:space="preserve">assumption rather than testing it. For crossed sources the finest grouping</w:t>
      </w:r>
      <w:r>
        <w:t xml:space="preserve"> </w:t>
      </w:r>
      <w:r>
        <w:t xml:space="preserve">satisfying S2 is their join (Proposition 2). Joins of individually fine groupings</w:t>
      </w:r>
      <w:r>
        <w:t xml:space="preserve"> </w:t>
      </w:r>
      <w:r>
        <w:t xml:space="preserve">are known to form giant components in leakage control [41], but the consequence</w:t>
      </w:r>
      <w:r>
        <w:t xml:space="preserve"> </w:t>
      </w:r>
      <w:r>
        <w:t xml:space="preserve">here differs in kind: there a collapsed join degrades a split, whereas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Because the declared</w:t>
      </w:r>
      <w:r>
        <w:t xml:space="preserve"> </w:t>
      </w:r>
      <w:r>
        <w:t xml:space="preserve">set cannot be verified from data, every verdict is reported as a function of that</w:t>
      </w:r>
      <w:r>
        <w:t xml:space="preserve"> </w:t>
      </w:r>
      <w:r>
        <w:t xml:space="preserve">set, never as a property of a dataset.</w:t>
      </w:r>
    </w:p>
    <w:bookmarkEnd w:id="18"/>
    <w:bookmarkStart w:id="19" w:name="label-conditional-feasibility"/>
    <w:p>
      <w:pPr>
        <w:pStyle w:val="Heading2"/>
      </w:pPr>
      <w:r>
        <w:t xml:space="preserve">3.4 Label-conditional feasibility</w:t>
      </w:r>
    </w:p>
    <w:p>
      <w:pPr>
        <w:pStyle w:val="FirstParagraph"/>
        <w:jc w:val="both"/>
      </w:pPr>
      <w:r>
        <w:t xml:space="preserve">PTB-XL arranges diagnoses in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a notion of coverage must be chosen.</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is not a new result: Theorem 1 of [13] only requires a fixed scalar score, and</w:t>
      </w:r>
      <w:r>
        <w:t xml:space="preserve"> </w:t>
      </w:r>
      <w:r>
        <w:t xml:space="preserve">setting</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gives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 so HCP applies unchanged. The</w:t>
      </w:r>
      <w:r>
        <w:t xml:space="preserve"> </w:t>
      </w:r>
      <w:r>
        <w:t xml:space="preserve">substantive question is the label-conditional 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which does not reduce in this way. Rare classes are known to starve</w:t>
      </w:r>
      <w:r>
        <w:t xml:space="preserve"> </w:t>
      </w:r>
      <w:r>
        <w:t xml:space="preserve">class-conditional calibration for exchangeable data [42]; under hierarchical</w:t>
      </w:r>
      <w:r>
        <w:t xml:space="preserve"> </w:t>
      </w:r>
      <w:r>
        <w:t xml:space="preserve">dependence the unit to be counted becomes the block.</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w:r>
        <w:t xml:space="preserve">carrying</w:t>
      </w:r>
      <w:r>
        <w:t xml:space="preserve"> </w:t>
      </w:r>
      <m:oMath>
        <m:r>
          <m:t>ℓ</m:t>
        </m:r>
      </m:oMath>
      <w:r>
        <w:t xml:space="preserve"> </w:t>
      </w:r>
      <w:r>
        <w:t xml:space="preserve">selects its block with probability proportional to the fraction</w:t>
      </w:r>
      <w:r>
        <w:t xml:space="preserve"> </w:t>
      </w:r>
      <w:r>
        <w:t xml:space="preserve">of</w:t>
      </w:r>
      <w:r>
        <w:t xml:space="preserve"> </w:t>
      </w:r>
      <m:oMath>
        <m:r>
          <m:t>ℓ</m:t>
        </m:r>
      </m:oMath>
      <w:r>
        <w:t xml:space="preserve">-positive observations in that block, whereas a block enters the</w:t>
      </w:r>
      <w:r>
        <w:t xml:space="preserve"> </w:t>
      </w:r>
      <w:r>
        <w:t xml:space="preserve">calibration stratum merely by containing one. Unless that fraction is constant</w:t>
      </w:r>
      <w:r>
        <w:t xml:space="preserve"> </w:t>
      </w:r>
      <w:r>
        <w:t xml:space="preserve">across blocks, test and calibration blocks are not exchangeable, and the rank</w:t>
      </w:r>
      <w:r>
        <w:t xml:space="preserve"> </w:t>
      </w:r>
      <w:r>
        <w:t xml:space="preserve">argument does not deliver</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the</w:t>
      </w:r>
      <w:r>
        <w:t xml:space="preserve"> </w:t>
      </w:r>
      <w:r>
        <w:t xml:space="preserve">same size-biased selection arises for thresholds under clustering [40].</w:t>
      </w:r>
      <w:r>
        <w:t xml:space="preserve"> </w:t>
      </w:r>
      <w:r>
        <w:t xml:space="preserve">Proposition 3 is therefore used only to rule out guarantees, never to certify</w:t>
      </w:r>
      <w:r>
        <w:t xml:space="preserve"> </w:t>
      </w:r>
      <w:r>
        <w:t xml:space="preserve">them. Since every block containing a label also contains its ancestors,</w:t>
      </w:r>
      <w:r>
        <w:t xml:space="preserve"> </w:t>
      </w:r>
      <m:oMath>
        <m:sSub>
          <m:e>
            <m:r>
              <m:t>K</m:t>
            </m:r>
          </m:e>
          <m:sub>
            <m:r>
              <m:t>1</m:t>
            </m:r>
          </m:sub>
        </m:sSub>
        <m:r>
          <m:rPr>
            <m:sty m:val="p"/>
          </m:rPr>
          <m:t>(</m:t>
        </m:r>
        <m:r>
          <m:t>ℓ</m:t>
        </m:r>
        <m:r>
          <m:rPr>
            <m:sty m:val="p"/>
          </m:rPr>
          <m:t>)</m:t>
        </m:r>
      </m:oMath>
      <w:r>
        <w:t xml:space="preserve"> </w:t>
      </w:r>
      <w:r>
        <w:t xml:space="preserve">is monotone toward the root, and the condition fails along a frontier</w:t>
      </w:r>
      <w:r>
        <w:t xml:space="preserve"> </w:t>
      </w:r>
      <w:r>
        <w:t xml:space="preserve">in the taxonomy that can be mapped from metadata. Controlling</w:t>
      </w:r>
      <w:r>
        <w:t xml:space="preserve"> </w:t>
      </w:r>
      <m:oMath>
        <m:r>
          <m:t>m</m:t>
        </m:r>
      </m:oMath>
      <w:r>
        <w:t xml:space="preserve"> </w:t>
      </w:r>
      <w:r>
        <w:t xml:space="preserve">labels jointly</w:t>
      </w:r>
      <w:r>
        <w:t xml:space="preserve"> </w:t>
      </w:r>
      <w:r>
        <w:t xml:space="preserve">by a union bound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every</w:t>
      </w:r>
      <w:r>
        <w:t xml:space="preserve"> </w:t>
      </w:r>
      <m:oMath>
        <m:r>
          <m:t>ℓ</m:t>
        </m:r>
      </m:oMath>
      <w:r>
        <w:t xml:space="preserve">.</w:t>
      </w:r>
    </w:p>
    <w:bookmarkEnd w:id="19"/>
    <w:bookmarkEnd w:id="20"/>
    <w:bookmarkStart w:id="29" w:name="audit-design"/>
    <w:p>
      <w:pPr>
        <w:pStyle w:val="Heading1"/>
      </w:pPr>
      <w:r>
        <w:t xml:space="preserve">4. Audit Design</w:t>
      </w:r>
    </w:p>
    <w:p>
      <w:pPr>
        <w:pStyle w:val="FirstParagraph"/>
        <w:jc w:val="both"/>
      </w:pPr>
      <w:r>
        <w:t xml:space="preserve">The audit has two stages. The three diagnostics of §3 are computed from metadata</w:t>
      </w:r>
      <w:r>
        <w:t xml:space="preserve"> </w:t>
      </w:r>
      <w:r>
        <w:t xml:space="preserve">before any training; the empirical stage then measures the coverage and set size</w:t>
      </w:r>
      <w:r>
        <w:t xml:space="preserve"> </w:t>
      </w:r>
      <w:r>
        <w:t xml:space="preserve">of naive split conformal (B1) and HCP (B12) on held-out blocks over 200 random</w:t>
      </w:r>
      <w:r>
        <w:t xml:space="preserve"> </w:t>
      </w:r>
      <w:r>
        <w:t xml:space="preserve">block-level splits per configuration, repeated on three backbones of 0.10 M,</w:t>
      </w:r>
      <w:r>
        <w:t xml:space="preserve"> </w:t>
      </w:r>
      <w:r>
        <w:t xml:space="preserve">7.2 M and 16.0 M parameters. Because the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 do not involve a model, they must be identical across</w:t>
      </w:r>
      <w:r>
        <w:t xml:space="preserve"> </w:t>
      </w:r>
      <w:r>
        <w:t xml:space="preserve">backbones, which gives a negative control on the pipeline. PTB-XL fold 10 is</w:t>
      </w:r>
      <w:r>
        <w:t xml:space="preserve"> </w:t>
      </w:r>
      <w:r>
        <w:t xml:space="preserve">never used, and throughout we separate what is</w:t>
      </w:r>
      <w:r>
        <w:t xml:space="preserve"> </w:t>
      </w:r>
      <w:r>
        <w:rPr>
          <w:i/>
          <w:iCs/>
        </w:rPr>
        <w:t xml:space="preserve">documented</w:t>
      </w:r>
      <w:r>
        <w:t xml:space="preserve"> </w:t>
      </w:r>
      <w:r>
        <w:t xml:space="preserve">for a dataset from</w:t>
      </w:r>
      <w:r>
        <w:t xml:space="preserve"> </w:t>
      </w:r>
      <w:r>
        <w:t xml:space="preserve">what is</w:t>
      </w:r>
      <w:r>
        <w:t xml:space="preserve"> </w:t>
      </w:r>
      <w:r>
        <w:rPr>
          <w:i/>
          <w:iCs/>
        </w:rPr>
        <w:t xml:space="preserve">observed</w:t>
      </w:r>
      <w:r>
        <w:t xml:space="preserve"> </w:t>
      </w:r>
      <w:r>
        <w:t xml:space="preserve">in it. Fig. 2 summarizes the protocol, separating the four</w:t>
      </w:r>
      <w:r>
        <w:t xml:space="preserve"> </w:t>
      </w:r>
      <w:r>
        <w:t xml:space="preserve">metadata-only steps from the two that require conformity scores.</w:t>
      </w:r>
    </w:p>
    <w:p>
      <w:pPr>
        <w:pStyle w:val="CaptionedFigure"/>
        <w:jc w:val="both"/>
      </w:pPr>
      <w:r>
        <w:drawing>
          <wp:inline>
            <wp:extent cx="5334000" cy="1397151"/>
            <wp:effectExtent b="0" l="0" r="0" t="0"/>
            <wp:docPr descr="Fig. 2. Audit protocol. The first four steps use metadata only and return verdicts that are exact given the declared dependence sources, before any patient is enrolled or any model trained; the last two require conformity scores from a trained model." title="" id="22" name="Picture"/>
            <a:graphic>
              <a:graphicData uri="http://schemas.openxmlformats.org/drawingml/2006/picture">
                <pic:pic>
                  <pic:nvPicPr>
                    <pic:cNvPr descr="figures/fig2_audit_workflow.png" id="23" name="Picture"/>
                    <pic:cNvPicPr>
                      <a:picLocks noChangeArrowheads="1" noChangeAspect="1"/>
                    </pic:cNvPicPr>
                  </pic:nvPicPr>
                  <pic:blipFill>
                    <a:blip r:embed="rId21"/>
                    <a:stretch>
                      <a:fillRect/>
                    </a:stretch>
                  </pic:blipFill>
                  <pic:spPr bwMode="auto">
                    <a:xfrm>
                      <a:off x="0" y="0"/>
                      <a:ext cx="5334000" cy="1397151"/>
                    </a:xfrm>
                    <a:prstGeom prst="rect">
                      <a:avLst/>
                    </a:prstGeom>
                    <a:noFill/>
                    <a:ln w="9525">
                      <a:noFill/>
                      <a:headEnd/>
                      <a:tailEnd/>
                    </a:ln>
                  </pic:spPr>
                </pic:pic>
              </a:graphicData>
            </a:graphic>
          </wp:inline>
        </w:drawing>
      </w:r>
    </w:p>
    <w:p>
      <w:pPr>
        <w:pStyle w:val="ImageCaption"/>
        <w:jc w:val="both"/>
      </w:pPr>
      <w:r>
        <w:t xml:space="preserve">Fig. 2. Audit protocol. The first four steps use metadata only and return verdicts that are exact given the declared dependence sources, before any patient is enrolled or any model trained; the last two require conformity scores from a trained model.</w:t>
      </w:r>
    </w:p>
    <w:bookmarkStart w:id="24" w:name="datasets-and-dependence-structures"/>
    <w:p>
      <w:pPr>
        <w:pStyle w:val="Heading2"/>
      </w:pPr>
      <w:r>
        <w:t xml:space="preserve">4.1 Datasets and dependence structures</w:t>
      </w:r>
    </w:p>
    <w:p>
      <w:pPr>
        <w:pStyle w:val="FirstParagraph"/>
        <w:jc w:val="both"/>
      </w:pPr>
      <w:r>
        <w:t xml:space="preserve">The three datasets play distinct roles and are not meant to replicate one</w:t>
      </w:r>
      <w:r>
        <w:t xml:space="preserve"> </w:t>
      </w:r>
      <w:r>
        <w:t xml:space="preserve">another. Table I gives the role of each and, for the two primary datasets, the</w:t>
      </w:r>
      <w:r>
        <w:t xml:space="preserve"> </w:t>
      </w:r>
      <w:r>
        <w:t xml:space="preserve">block geometry that places them at opposite ends of the design-effect axis.</w:t>
      </w:r>
    </w:p>
    <w:p>
      <w:pPr>
        <w:pStyle w:val="BodyText"/>
        <w:keepNext/>
        <w:spacing w:before="160"/>
        <w:jc w:val="center"/>
      </w:pPr>
      <w:r/>
      <w:r>
        <w:rPr>
          <w:sz w:val="18"/>
        </w:rPr>
        <w:t>TABLE I</w:t>
      </w:r>
      <w:r>
        <w:br/>
      </w:r>
      <w:r>
        <w:rPr>
          <w:sz w:val="16"/>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Within any one dataset the number of blocks and the number of measurements per</w:t>
      </w:r>
      <w:r>
        <w:t xml:space="preserve"> </w:t>
      </w:r>
      <w:r>
        <w:t xml:space="preserve">block are fixed together, so no single dataset, however large, can separate</w:t>
      </w:r>
      <w:r>
        <w:t xml:space="preserve"> </w:t>
      </w:r>
      <w:r>
        <w:t xml:space="preserve">their effects. Of the quantities in Table I only</w:t>
      </w:r>
      <w:r>
        <w:t xml:space="preserve"> </w:t>
      </w:r>
      <m:oMath>
        <m:r>
          <m:t>H</m:t>
        </m:r>
      </m:oMath>
      <w:r>
        <w:t xml:space="preserve"> </w:t>
      </w:r>
      <w:r>
        <w:t xml:space="preserve">is structural:</w:t>
      </w:r>
      <w:r>
        <w:t xml:space="preserve"> </w:t>
      </w:r>
      <m:oMath>
        <m:sSub>
          <m:e>
            <m:r>
              <m:t>K</m:t>
            </m:r>
          </m:e>
          <m:sub>
            <m:r>
              <m:t>1</m:t>
            </m:r>
          </m:sub>
        </m:sSub>
      </m:oMath>
      <w:r>
        <w:t xml:space="preserve"> </w:t>
      </w:r>
      <w:r>
        <w:t xml:space="preserve">depends on the split design (958 is half of the 1,917 patients in our fold-9</w:t>
      </w:r>
      <w:r>
        <w:t xml:space="preserve"> </w:t>
      </w:r>
      <w:r>
        <w:t xml:space="preserve">evaluation subset), and the design effect depends on the model, because</w:t>
      </w:r>
      <w:r>
        <w:t xml:space="preserve"> </w:t>
      </w:r>
      <m:oMath>
        <m:r>
          <m:t>ρ</m:t>
        </m:r>
      </m:oMath>
      <w:r>
        <w:t xml:space="preserve"> </w:t>
      </w:r>
      <w:r>
        <w:t xml:space="preserve">is</w:t>
      </w:r>
      <w:r>
        <w:t xml:space="preserve"> </w:t>
      </w:r>
      <w:r>
        <w:t xml:space="preserve">the ICC of conformity scores from a particular backbone. Challenge 2021 supports</w:t>
      </w:r>
      <w:r>
        <w:t xml:space="preserve"> </w:t>
      </w:r>
      <w:r>
        <w:t xml:space="preserve">no claim of generality; it is included because a diagnostic that only ever</w:t>
      </w:r>
      <w:r>
        <w:t xml:space="preserve"> </w:t>
      </w:r>
      <w:r>
        <w:t xml:space="preserve">returns</w:t>
      </w:r>
      <w:r>
        <w:t xml:space="preserve"> </w:t>
      </w:r>
      <w:r>
        <w:t xml:space="preserve">“admissible”</w:t>
      </w:r>
      <w:r>
        <w:t xml:space="preserve"> </w:t>
      </w:r>
      <w:r>
        <w:t xml:space="preserve">has not shown that it can discriminate.</w:t>
      </w:r>
    </w:p>
    <w:p>
      <w:pPr>
        <w:pStyle w:val="BodyText"/>
        <w:jc w:val="both"/>
      </w:pPr>
      <w:r>
        <w:rPr>
          <w:b/>
          <w:bCs/>
        </w:rPr>
        <w:t xml:space="preserve">PTB-XL.</w:t>
      </w:r>
      <w:r>
        <w:t xml:space="preserve"> </w:t>
      </w:r>
      <w:r>
        <w:t xml:space="preserve">The dataset [2], [15] holds 21,799 twelve-lead records from 18,869</w:t>
      </w:r>
      <w:r>
        <w:t xml:space="preserve"> </w:t>
      </w:r>
      <w:r>
        <w:t xml:space="preserve">patients with full metadata under a permissive licence. We use the 100 Hz</w:t>
      </w:r>
      <w:r>
        <w:t xml:space="preserve"> </w:t>
      </w:r>
      <w:r>
        <w:t xml:space="preserve">version (1,000 samples per 10-second record), band-pass filtered at 0.5–40 Hz.</w:t>
      </w:r>
      <w:r>
        <w:t xml:space="preserve"> </w:t>
      </w:r>
      <w:r>
        <w:t xml:space="preserve">Diagnostic statements map to five non-exclusive superclasses — NORM (9,514), MI</w:t>
      </w:r>
      <w:r>
        <w:t xml:space="preserve"> </w:t>
      </w:r>
      <w:r>
        <w:t xml:space="preserve">(5,469), STTC (5,235), CD (4,898) and HYP (2,649) — giving 27,765 labels, with</w:t>
      </w:r>
      <w:r>
        <w:t xml:space="preserve"> </w:t>
      </w:r>
      <w:r>
        <w:t xml:space="preserve">5,144 records carrying more than one superclass. The 411 records (1.9%) with no</w:t>
      </w:r>
      <w:r>
        <w:t xml:space="preserve"> </w:t>
      </w:r>
      <w:r>
        <w:t xml:space="preserve">diagnostic superclass would be covered trivially under (4) and are excluded from</w:t>
      </w:r>
      <w:r>
        <w:t xml:space="preserve"> </w:t>
      </w:r>
      <w:r>
        <w:t xml:space="preserve">calibration and evaluation rather than assigned a default class. Age is recorded</w:t>
      </w:r>
      <w:r>
        <w:t xml:space="preserve"> </w:t>
      </w:r>
      <w:r>
        <w:t xml:space="preserve">for every record (median 62; ages above 89 are encoded as the sentinel 300 in 293</w:t>
      </w:r>
      <w:r>
        <w:t xml:space="preserve"> </w:t>
      </w:r>
      <w:r>
        <w:t xml:space="preserve">records), and sex as 11,354 male and 10,445 female.</w:t>
      </w:r>
    </w:p>
    <w:p>
      <w:pPr>
        <w:pStyle w:val="BodyText"/>
        <w:jc w:val="both"/>
      </w:pPr>
      <w:r>
        <w:t xml:space="preserve">Clustering by patient is mild: 1.155 records per patient on average, at most 10,</w:t>
      </w:r>
      <w:r>
        <w:t xml:space="preserve"> </w:t>
      </w:r>
      <w:r>
        <w:t xml:space="preserve">and 88.8% of patients contribute a single record, so only 5,041 records (23.1%)</w:t>
      </w:r>
      <w:r>
        <w:t xml:space="preserve"> </w:t>
      </w:r>
      <w:r>
        <w:t xml:space="preserve">belong to patients with more than one. The metadata expose three further</w:t>
      </w:r>
      <w:r>
        <w:t xml:space="preserve"> </w:t>
      </w:r>
      <w:r>
        <w:t xml:space="preserve">grouping variables — 51 recording sites (17 records missing), 12 nurses (1,473</w:t>
      </w:r>
      <w:r>
        <w:t xml:space="preserve"> </w:t>
      </w:r>
      <w:r>
        <w:t xml:space="preserve">missing) and 11 devices (complete) — which are crossed rather than nested, the</w:t>
      </w:r>
      <w:r>
        <w:t xml:space="preserve"> </w:t>
      </w:r>
      <w:r>
        <w:t xml:space="preserve">setting of Corollary 2. We use the published stratified ten-fold split</w:t>
      </w:r>
      <w:r>
        <w:t xml:space="preserve"> </w:t>
      </w:r>
      <w:r>
        <w:t xml:space="preserve">unchanged: 17,418 records in folds 1–8, 2,183 in fold 9 and 2,198 in fold 10, with</w:t>
      </w:r>
      <w:r>
        <w:t xml:space="preserve"> </w:t>
      </w:r>
      <w:r>
        <w:t xml:space="preserve">no patient crossing a fold boundary. Cardiologist validation covers 67.0% of</w:t>
      </w:r>
      <w:r>
        <w:t xml:space="preserve"> </w:t>
      </w:r>
      <w:r>
        <w:t xml:space="preserve">records on average in folds 1–8 (range 64–68%) but 100% in folds 9 and 10, so</w:t>
      </w:r>
      <w:r>
        <w:t xml:space="preserve"> </w:t>
      </w:r>
      <w:r>
        <w:t xml:space="preserve">confirmatory analysis is confined to folds 9–10, and fold 10 is reserved and has</w:t>
      </w:r>
      <w:r>
        <w:t xml:space="preserve"> </w:t>
      </w:r>
      <w:r>
        <w:t xml:space="preserve">not been examined.</w:t>
      </w:r>
    </w:p>
    <w:p>
      <w:pPr>
        <w:pStyle w:val="BodyText"/>
        <w:jc w:val="both"/>
      </w:pPr>
      <w:r>
        <w:rPr>
          <w:b/>
          <w:bCs/>
        </w:rPr>
        <w:t xml:space="preserve">MIT-BIH.</w:t>
      </w:r>
      <w:r>
        <w:t xml:space="preserve"> </w:t>
      </w:r>
      <w:r>
        <w:t xml:space="preserve">The MIT-BIH Arrhythmia Database [16] contains 48 half-hour</w:t>
      </w:r>
      <w:r>
        <w:t xml:space="preserve"> </w:t>
      </w:r>
      <w:r>
        <w:t xml:space="preserve">two-channel recordings at 360 Hz with beat-by-beat cardiologist annotations.</w:t>
      </w:r>
      <w:r>
        <w:t xml:space="preserve"> </w:t>
      </w:r>
      <w:r>
        <w:t xml:space="preserve">Following standard practice we exclude the four paced records (102, 104, 107,</w:t>
      </w:r>
      <w:r>
        <w:t xml:space="preserve"> </w:t>
      </w:r>
      <w:r>
        <w:t xml:space="preserve">217), leaving 44. Mapping annotations to the five AAMI classes yields 100,733</w:t>
      </w:r>
      <w:r>
        <w:t xml:space="preserve"> </w:t>
      </w:r>
      <w:r>
        <w:t xml:space="preserve">beats; 40 lie within 128 samples of a record boundary and cannot give a complete</w:t>
      </w:r>
      <w:r>
        <w:t xml:space="preserve"> </w:t>
      </w:r>
      <w:r>
        <w:t xml:space="preserve">256-sample (711 ms) window, so they are dropped rather than zero-padded, leaving</w:t>
      </w:r>
      <w:r>
        <w:t xml:space="preserve"> </w:t>
      </w:r>
      <w:r>
        <w:t xml:space="preserve">100,693. The class counts are N 90,087, S 2,781, V 7,008, F 802 and Q 15; class Q</w:t>
      </w:r>
      <w:r>
        <w:t xml:space="preserve"> </w:t>
      </w:r>
      <w:r>
        <w:t xml:space="preserve">is degenerate and reported as such rather than merged away. The MLII lead is</w:t>
      </w:r>
      <w:r>
        <w:t xml:space="preserve"> </w:t>
      </w:r>
      <w:r>
        <w:t xml:space="preserve">selected by name, because record 114 stores its channels as</w:t>
      </w:r>
      <w:r>
        <w:t xml:space="preserve"> </w:t>
      </w:r>
      <w:r>
        <w:rPr>
          <w:rStyle w:val="VerbatimChar"/>
        </w:rPr>
        <w:t xml:space="preserve">[V5, MLII]</w:t>
      </w:r>
      <w:r>
        <w:t xml:space="preserve"> </w:t>
      </w:r>
      <w:r>
        <w:t xml:space="preserve">and</w:t>
      </w:r>
      <w:r>
        <w:t xml:space="preserve"> </w:t>
      </w:r>
      <w:r>
        <w:t xml:space="preserve">selection by index would silently substitute another lead. We adopt the</w:t>
      </w:r>
      <w:r>
        <w:t xml:space="preserve"> </w:t>
      </w:r>
      <w:r>
        <w:t xml:space="preserve">canonical inter-patient partition into DS1 and DS2 (22 records each; 51,000 and</w:t>
      </w:r>
      <w:r>
        <w:t xml:space="preserve"> </w:t>
      </w:r>
      <w:r>
        <w:t xml:space="preserve">49,693 beats after boundary removal). Records range from 1,517 to 3,361 beats</w:t>
      </w:r>
      <w:r>
        <w:t xml:space="preserve"> </w:t>
      </w:r>
      <w:r>
        <w:t xml:space="preserve">(median 2,257), three orders of magnitude above PTB-XL’s block sizes. Records 201</w:t>
      </w:r>
      <w:r>
        <w:t xml:space="preserve"> </w:t>
      </w:r>
      <w:r>
        <w:t xml:space="preserve">and 202 come from the same subject but fall on opposite sides of the partition;</w:t>
      </w:r>
      <w:r>
        <w:t xml:space="preserve"> </w:t>
      </w:r>
      <w:r>
        <w:t xml:space="preserve">we keep the standard split for comparability and state the leak.</w:t>
      </w:r>
    </w:p>
    <w:p>
      <w:pPr>
        <w:pStyle w:val="BodyText"/>
        <w:jc w:val="both"/>
      </w:pPr>
      <w:r>
        <w:rPr>
          <w:b/>
          <w:bCs/>
        </w:rPr>
        <w:t xml:space="preserve">Challenge 2021.</w:t>
      </w:r>
      <w:r>
        <w:t xml:space="preserve"> </w:t>
      </w:r>
      <w:r>
        <w:t xml:space="preserve">The PhysioNet/CinC Challenge 2021 collection [17] spans seven</w:t>
      </w:r>
      <w:r>
        <w:t xml:space="preserve"> </w:t>
      </w:r>
      <w:r>
        <w:t xml:space="preserve">non-duplicate source folders with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the</w:t>
      </w:r>
      <w:r>
        <w:t xml:space="preserve"> </w:t>
      </w:r>
      <w:r>
        <w:rPr>
          <w:rStyle w:val="VerbatimChar"/>
        </w:rPr>
        <w:t xml:space="preserve">ptb-xl</w:t>
      </w:r>
      <w:r>
        <w:t xml:space="preserve"> </w:t>
      </w:r>
      <w:r>
        <w:t xml:space="preserve">folder (21,837 records) duplicates</w:t>
      </w:r>
      <w:r>
        <w:t xml:space="preserve"> </w:t>
      </w:r>
      <w:r>
        <w:t xml:space="preserve">PTB-XL and is excluded, and the two totals sum to the official 88,253. No patient</w:t>
      </w:r>
      <w:r>
        <w:t xml:space="preserve"> </w:t>
      </w:r>
      <w:r>
        <w:t xml:space="preserve">identifier is documented among the fields of a sample of 42 headers drawn from</w:t>
      </w:r>
      <w:r>
        <w:t xml:space="preserve"> </w:t>
      </w:r>
      <w:r>
        <w:t xml:space="preserve">all seven sources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w:t>
      </w:r>
      <w:r>
        <w:t xml:space="preserve">and, in five sources,</w:t>
      </w:r>
      <w:r>
        <w:t xml:space="preserve"> </w:t>
      </w:r>
      <w:r>
        <w:rPr>
          <w:rStyle w:val="VerbatimChar"/>
        </w:rPr>
        <w:t xml:space="preserve">#Sx</w:t>
      </w:r>
      <w:r>
        <w:t xml:space="preserve">); since this is a sample and the schema varies across sources, we claim no</w:t>
      </w:r>
      <w:r>
        <w:t xml:space="preserve"> </w:t>
      </w:r>
      <w:r>
        <w:t xml:space="preserve">more than that. Repetition, by contrast, is documented: the INCART source is</w:t>
      </w:r>
      <w:r>
        <w:t xml:space="preserve"> </w:t>
      </w:r>
      <w:r>
        <w:t xml:space="preserve">described as</w:t>
      </w:r>
      <w:r>
        <w:t xml:space="preserve"> </w:t>
      </w:r>
      <w:r>
        <w:rPr>
          <w:i/>
          <w:iCs/>
        </w:rPr>
        <w:t xml:space="preserve">“74 annotated ECGs … extracted from 32 Holter monitor</w:t>
      </w:r>
      <w:r>
        <w:rPr>
          <w:i/>
          <w:iCs/>
        </w:rPr>
        <w:t xml:space="preserve"> </w:t>
      </w:r>
      <w:r>
        <w:rPr>
          <w:i/>
          <w:iCs/>
        </w:rPr>
        <w:t xml:space="preserve">recordings,”</w:t>
      </w:r>
      <w:r>
        <w:t xml:space="preserve"> </w:t>
      </w:r>
      <w:r>
        <w:t xml:space="preserve">and the excluded</w:t>
      </w:r>
      <w:r>
        <w:t xml:space="preserve"> </w:t>
      </w:r>
      <w:r>
        <w:rPr>
          <w:rStyle w:val="VerbatimChar"/>
        </w:rPr>
        <w:t xml:space="preserve">ptb-xl</w:t>
      </w:r>
      <w:r>
        <w:t xml:space="preserve"> </w:t>
      </w:r>
      <w:r>
        <w:t xml:space="preserve">folder holds 21,837 records from 18,869</w:t>
      </w:r>
      <w:r>
        <w:t xml:space="preserve"> </w:t>
      </w:r>
      <w:r>
        <w:t xml:space="preserve">patients. There are thus fewer independent units than records, and an</w:t>
      </w:r>
      <w:r>
        <w:t xml:space="preserve"> </w:t>
      </w:r>
      <w:r>
        <w:t xml:space="preserve">unobservable partition is not evidence of independence. The only documented</w:t>
      </w:r>
      <w:r>
        <w:t xml:space="preserve"> </w:t>
      </w:r>
      <w:r>
        <w:t xml:space="preserve">grouping is the source partition, with</w:t>
      </w:r>
      <w:r>
        <w:t xml:space="preserve"> </w:t>
      </w:r>
      <m:oMath>
        <m:r>
          <m:t>K</m:t>
        </m:r>
        <m:r>
          <m:rPr>
            <m:sty m:val="p"/>
          </m:rPr>
          <m:t>=</m:t>
        </m:r>
        <m:r>
          <m:t>7</m:t>
        </m:r>
      </m:oMath>
      <w:r>
        <w:t xml:space="preserve">, so by Proposition 1 any</w:t>
      </w:r>
      <w:r>
        <w:t xml:space="preserve"> </w:t>
      </w:r>
      <w:r>
        <w:t xml:space="preserve">calibration 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if one source is held out;</w:t>
      </w:r>
      <w:r>
        <w:t xml:space="preserve"> </w:t>
      </w:r>
      <w:r>
        <w:t xml:space="preserve">the bound concerns the source partition, not the dataset. For the patient</w:t>
      </w:r>
      <w:r>
        <w:t xml:space="preserve"> </w:t>
      </w:r>
      <w:r>
        <w:t xml:space="preserve">partition</w:t>
      </w:r>
      <w:r>
        <w:t xml:space="preserve"> </w:t>
      </w:r>
      <m:oMath>
        <m:sSub>
          <m:e>
            <m:r>
              <m:t>K</m:t>
            </m:r>
          </m:e>
          <m:sub>
            <m:r>
              <m:t>1</m:t>
            </m:r>
          </m:sub>
        </m:sSub>
      </m:oMath>
      <w:r>
        <w:t xml:space="preserve"> </w:t>
      </w:r>
      <w:r>
        <w:t xml:space="preserve">becomes an assumption an author must state, and we report no</w:t>
      </w:r>
      <w:r>
        <w:t xml:space="preserve"> </w:t>
      </w:r>
      <w:r>
        <w:t xml:space="preserve">single</w:t>
      </w:r>
      <w:r>
        <w:t xml:space="preserve"> </w:t>
      </w:r>
      <m:oMath>
        <m:sSub>
          <m:e>
            <m:r>
              <m:t>α</m:t>
            </m:r>
          </m:e>
          <m:sub>
            <m:r>
              <m:rPr>
                <m:sty m:val="p"/>
              </m:rPr>
              <m:t>min</m:t>
            </m:r>
          </m:sub>
        </m:sSub>
      </m:oMath>
      <w:r>
        <w:t xml:space="preserve">. Sufficiency also presupposes a latent block structure</w:t>
      </w:r>
      <w:r>
        <w:t xml:space="preserve"> </w:t>
      </w:r>
      <w:r>
        <w:t xml:space="preserve">[13]; if similarity within an institution decayed continuously, for example with</w:t>
      </w:r>
      <w:r>
        <w:t xml:space="preserve"> </w:t>
      </w:r>
      <w:r>
        <w:t xml:space="preserve">proximity of acquisition protocol, the condition would be ill-posed rather than</w:t>
      </w:r>
      <w:r>
        <w:t xml:space="preserve"> </w:t>
      </w:r>
      <w:r>
        <w:t xml:space="preserve">merely unobservable. These checks needed about 0.5 MB of downloads (70 index</w:t>
      </w:r>
      <w:r>
        <w:t xml:space="preserve"> </w:t>
      </w:r>
      <w:r>
        <w:t xml:space="preserve">files and 42 headers) from a 12.6 GB dataset, before any preprocessing or</w:t>
      </w:r>
      <w:r>
        <w:t xml:space="preserve"> </w:t>
      </w:r>
      <w:r>
        <w:t xml:space="preserve">training.</w:t>
      </w:r>
    </w:p>
    <w:bookmarkEnd w:id="24"/>
    <w:bookmarkStart w:id="25" w:name="calibration-and-evaluation-protocol"/>
    <w:p>
      <w:pPr>
        <w:pStyle w:val="Heading2"/>
      </w:pPr>
      <w:r>
        <w:t xml:space="preserve">4.2 Calibration and evaluation protocol</w:t>
      </w:r>
    </w:p>
    <w:p>
      <w:pPr>
        <w:pStyle w:val="FirstParagraph"/>
        <w:jc w:val="both"/>
      </w:pPr>
      <w:r>
        <w:t xml:space="preserve">We compare split conformal prediction calibrated as if records or beats were</w:t>
      </w:r>
      <w:r>
        <w:t xml:space="preserve"> </w:t>
      </w:r>
      <w:r>
        <w:t xml:space="preserve">exchangeable (B1) with HCP calibrated at the block level (B12) [13]. The question</w:t>
      </w:r>
      <w:r>
        <w:t xml:space="preserve"> </w:t>
      </w:r>
      <w:r>
        <w:t xml:space="preserve">is whether a guarantee can be enforced at all, not which hierarchical</w:t>
      </w:r>
      <w:r>
        <w:t xml:space="preserve"> </w:t>
      </w:r>
      <w:r>
        <w:t xml:space="preserve">construction is most efficient, so the constructions of Dunn et al. [14] and</w:t>
      </w:r>
      <w:r>
        <w:t xml:space="preserve"> </w:t>
      </w:r>
      <w:r>
        <w:t xml:space="preserve">non-hierarchical variants such as Mondrian conformal prediction are outside the</w:t>
      </w:r>
      <w:r>
        <w:t xml:space="preserve"> </w:t>
      </w:r>
      <w:r>
        <w:t xml:space="preserve">comparison.</w:t>
      </w:r>
    </w:p>
    <w:p>
      <w:pPr>
        <w:pStyle w:val="BodyText"/>
        <w:jc w:val="both"/>
      </w:pPr>
      <w:r>
        <w:t xml:space="preserve">On PTB-XL, folds 1–6 train, fold 7 validates, and fold 9 is split at the patient</w:t>
      </w:r>
      <w:r>
        <w:t xml:space="preserve"> </w:t>
      </w:r>
      <w:r>
        <w:t xml:space="preserve">level into calibration and evaluation, repeated 200–400 times; fold 8 is unused</w:t>
      </w:r>
      <w:r>
        <w:t xml:space="preserve"> </w:t>
      </w:r>
      <w:r>
        <w:t xml:space="preserve">because its label quality differs from fold 9’s, and fold 10 is reserved for a</w:t>
      </w:r>
      <w:r>
        <w:t xml:space="preserve"> </w:t>
      </w:r>
      <w:r>
        <w:t xml:space="preserve">single final confirmatory evaluation. On MIT-BIH, DS1 without four validation</w:t>
      </w:r>
      <w:r>
        <w:t xml:space="preserve"> </w:t>
      </w:r>
      <w:r>
        <w:t xml:space="preserve">records (124, 205, 215, 230) trains, those four validate, and DS2 is split 11/11</w:t>
      </w:r>
      <w:r>
        <w:t xml:space="preserve"> </w:t>
      </w:r>
      <w:r>
        <w:t xml:space="preserve">at the record level into calibration and evaluation, repeated 200–400 times.</w:t>
      </w:r>
    </w:p>
    <w:bookmarkEnd w:id="25"/>
    <w:bookmarkStart w:id="26" w:name="models-and-conformity-scores"/>
    <w:p>
      <w:pPr>
        <w:pStyle w:val="Heading2"/>
      </w:pPr>
      <w:r>
        <w:t xml:space="preserve">4.3 Models and conformity scores</w:t>
      </w:r>
    </w:p>
    <w:p>
      <w:pPr>
        <w:pStyle w:val="FirstParagraph"/>
        <w:jc w:val="both"/>
      </w:pPr>
      <w:r>
        <w:t xml:space="preserve">Conformal guarantees are model-agnostic, so the backbone affects the size of</w:t>
      </w:r>
      <w:r>
        <w:t xml:space="preserve"> </w:t>
      </w:r>
      <w:r>
        <w:t xml:space="preserve">prediction sets, not their validity. The primary backbone is a compact 1-D</w:t>
      </w:r>
      <w:r>
        <w:t xml:space="preserve"> </w:t>
      </w:r>
      <w:r>
        <w:t xml:space="preserve">convolutional network (SmallECGNet) with 104,389 parameters for 12-lead input and</w:t>
      </w:r>
      <w:r>
        <w:t xml:space="preserve"> </w:t>
      </w:r>
      <w:r>
        <w:t xml:space="preserve">101,925 for single-lead. Every audit is repeated with two 1-D residual networks</w:t>
      </w:r>
      <w:r>
        <w:t xml:space="preserve"> </w:t>
      </w:r>
      <w:r>
        <w:t xml:space="preserve">from the PTB-XL benchmark family [1]: ResNet1D-34 (7,225,733 / 7,220,805</w:t>
      </w:r>
      <w:r>
        <w:t xml:space="preserve"> </w:t>
      </w:r>
      <w:r>
        <w:t xml:space="preserve">parameters) and ResNet1D-50 (15,969,413 / 15,964,485). The residual networks are</w:t>
      </w:r>
      <w:r>
        <w:t xml:space="preserve"> </w:t>
      </w:r>
      <w:r>
        <w:t xml:space="preserve">trained with Adam (learning rate</w:t>
      </w:r>
      <w:r>
        <w:t xml:space="preserve"> </w:t>
      </w:r>
      <m:oMath>
        <m:sSup>
          <m:e>
            <m:r>
              <m:t>10</m:t>
            </m:r>
          </m:e>
          <m:sup>
            <m:r>
              <m:rPr>
                <m:sty m:val="p"/>
              </m:rPr>
              <m:t>−</m:t>
            </m:r>
            <m:r>
              <m:t>3</m:t>
            </m:r>
          </m:sup>
        </m:sSup>
      </m:oMath>
      <w:r>
        <w:t xml:space="preserve">), early stopping on validation loss</w:t>
      </w:r>
      <w:r>
        <w:t xml:space="preserve"> </w:t>
      </w:r>
      <w:r>
        <w:t xml:space="preserve">with patience 5, and at most 25 (PTB-XL) or 30 (MIT-BIH) epochs; SmallECGNet</w:t>
      </w:r>
      <w:r>
        <w:t xml:space="preserve"> </w:t>
      </w:r>
      <w:r>
        <w:t xml:space="preserve">weights are reused from the primary study without retraining. The primary</w:t>
      </w:r>
      <w:r>
        <w:t xml:space="preserve"> </w:t>
      </w:r>
      <w:r>
        <w:t xml:space="preserve">backbone reaches macro-AUROC 0.9016 on PTB-XL and, on MIT-BIH, accuracy 0.8690</w:t>
      </w:r>
      <w:r>
        <w:t xml:space="preserve"> </w:t>
      </w:r>
      <w:r>
        <w:t xml:space="preserve">with balanced accuracy 0.3748 and macro-F1 0.3144 — weak on minority classes,</w:t>
      </w:r>
      <w:r>
        <w:t xml:space="preserve"> </w:t>
      </w:r>
      <w:r>
        <w:t xml:space="preserve">which affects set size but not coverage. For multi-class MIT-BIH,</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for multi-label PTB-XL the per-label score is</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and the record-level score for superset coverage is the</w:t>
      </w:r>
      <w:r>
        <w:t xml:space="preserve"> </w:t>
      </w:r>
      <w:r>
        <w:t xml:space="preserve">maximum over true labels, which reduces to scalar HCP (§3.4).</w:t>
      </w:r>
    </w:p>
    <w:bookmarkEnd w:id="26"/>
    <w:bookmarkStart w:id="27" w:name="statistical-analysis"/>
    <w:p>
      <w:pPr>
        <w:pStyle w:val="Heading2"/>
      </w:pPr>
      <w:r>
        <w:t xml:space="preserve">4.4 Statistical analysis</w:t>
      </w:r>
    </w:p>
    <w:p>
      <w:pPr>
        <w:pStyle w:val="FirstParagraph"/>
        <w:jc w:val="both"/>
      </w:pPr>
      <w:r>
        <w:t xml:space="preserve">Every resampling step operates on blocks — patients or records — and never on</w:t>
      </w:r>
      <w:r>
        <w:t xml:space="preserve"> </w:t>
      </w:r>
      <w:r>
        <w:t xml:space="preserve">individual records or beats, which would reproduce the error under study.</w:t>
      </w:r>
      <w:r>
        <w:t xml:space="preserve"> </w:t>
      </w:r>
      <w:r>
        <w:t xml:space="preserve">Friedman–Nemenyi tests are not used: designed for many classifiers across many</w:t>
      </w:r>
      <w:r>
        <w:t xml:space="preserve"> </w:t>
      </w:r>
      <w:r>
        <w:t xml:space="preserve">datasets, conventionally at least five, they are uninformative with two.</w:t>
      </w:r>
      <w:r>
        <w:t xml:space="preserve"> </w:t>
      </w:r>
      <w:r>
        <w:t xml:space="preserve">Table II lists the procedure behind each reported quantity.</w:t>
      </w:r>
    </w:p>
    <w:p>
      <w:pPr>
        <w:pStyle w:val="BodyText"/>
        <w:keepNext/>
        <w:spacing w:before="160"/>
        <w:jc w:val="center"/>
      </w:pPr>
      <w:r/>
      <w:r>
        <w:rPr>
          <w:sz w:val="18"/>
        </w:rPr>
        <w:t>TABLE II</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trPr>
        <w:tc>
          <w:tcPr/>
          <w:p>
            <w:pPr>
              <w:pStyle w:val="Compact"/>
              <w:keepNext/>
            </w:pPr>
            <w:r>
              <w:rPr>
                <w:b/>
                <w:sz w:val="17"/>
              </w:rPr>
              <w:t xml:space="preserve">Quantity</w:t>
            </w:r>
          </w:p>
        </w:tc>
        <w:tc>
          <w:tcPr/>
          <w:p>
            <w:pPr>
              <w:pStyle w:val="Compact"/>
              <w:keepNext/>
            </w:pPr>
            <w:r>
              <w:rPr>
                <w:b/>
                <w:sz w:val="17"/>
              </w:rPr>
              <w:t xml:space="preserve">Procedure</w:t>
            </w:r>
          </w:p>
        </w:tc>
      </w:tr>
      <w:tr>
        <w:tc>
          <w:tcPr/>
          <w:p>
            <w:pPr>
              <w:pStyle w:val="Compact"/>
              <w:keepNext/>
            </w:pPr>
            <w:r>
              <w:rPr>
                <w:sz w:val="17"/>
              </w:rPr>
              <w:t xml:space="preserve">Coverage and set size</w:t>
            </w:r>
          </w:p>
        </w:tc>
        <w:tc>
          <w:tcPr/>
          <w:p>
            <w:pPr>
              <w:pStyle w:val="Compact"/>
              <w:keepNext/>
            </w:pPr>
            <w:r>
              <w:rPr>
                <w:sz w:val="17"/>
              </w:rPr>
              <w:t xml:space="preserve">Mean over 200 random block-level splits; 2.5–97.5% range across splits</w:t>
            </w:r>
          </w:p>
        </w:tc>
      </w:tr>
      <w:tr>
        <w:tc>
          <w:tcPr/>
          <w:p>
            <w:pPr>
              <w:pStyle w:val="Compact"/>
              <w:keepNext/>
            </w:pPr>
            <w:r>
              <w:rPr>
                <w:sz w:val="17"/>
              </w:rPr>
              <w:t xml:space="preserve">B1 deficit against the permutation null</w:t>
            </w:r>
          </w:p>
        </w:tc>
        <w:tc>
          <w:tcPr/>
          <w:p>
            <w:pPr>
              <w:pStyle w:val="Compact"/>
              <w:keepNext/>
            </w:pPr>
            <w:r>
              <w:rPr>
                <w:sz w:val="17"/>
              </w:rPr>
              <w:t xml:space="preserve">Percentile bootstrap (4,000 resamples of split-level coverage), 95% CI; one-sided bootstrap</w:t>
            </w:r>
            <w:r>
              <w:rPr>
                <w:sz w:val="17"/>
              </w:rPr>
              <w:t xml:space="preserve"> </w:t>
            </w:r>
            <m:oMath>
              <m:r>
                <m:t>p</m:t>
              </m:r>
            </m:oMath>
          </w:p>
        </w:tc>
      </w:tr>
      <w:tr>
        <w:tc>
          <w:tcPr/>
          <w:p>
            <w:pPr>
              <w:pStyle w:val="Compact"/>
              <w:keepNext/>
            </w:pPr>
            <w:r>
              <w:rPr>
                <w:sz w:val="17"/>
              </w:rPr>
              <w:t xml:space="preserve">Multiplicity</w:t>
            </w:r>
          </w:p>
        </w:tc>
        <w:tc>
          <w:tcPr/>
          <w:p>
            <w:pPr>
              <w:pStyle w:val="Compact"/>
              <w:keepNex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w:t>
            </w:r>
          </w:p>
        </w:tc>
      </w:tr>
      <w:tr>
        <w:tc>
          <w:tcPr/>
          <w:p>
            <w:pPr>
              <w:pStyle w:val="Compact"/>
              <w:keepNext/>
            </w:pPr>
            <w:r>
              <w:rPr>
                <w:sz w:val="17"/>
              </w:rPr>
              <w:t xml:space="preserve">Factorial effects</w:t>
            </w:r>
          </w:p>
        </w:tc>
        <w:tc>
          <w:tcPr/>
          <w:p>
            <w:pPr>
              <w:pStyle w:val="Compact"/>
              <w:keepNext/>
            </w:pPr>
            <w:r>
              <w:rPr>
                <w:sz w:val="17"/>
              </w:rPr>
              <w:t xml:space="preserve">Percentile bootstrap (3,000 resamples of 400 split-level values), 95% CI</w:t>
            </w:r>
          </w:p>
        </w:tc>
      </w:tr>
      <w:tr>
        <w:tc>
          <w:tcPr/>
          <w:p>
            <w:pPr>
              <w:pStyle w:val="Compact"/>
              <w:keepNext/>
            </w:pPr>
            <w:r>
              <w:rPr>
                <w:sz w:val="17"/>
              </w:rPr>
              <w:t xml:space="preserve">Monotonicity in dependence</w:t>
            </w:r>
          </w:p>
        </w:tc>
        <w:tc>
          <w:tcPr/>
          <w:p>
            <w:pPr>
              <w:pStyle w:val="Compact"/>
              <w:keepNext/>
            </w:pPr>
            <w:r>
              <w:rPr>
                <w:sz w:val="17"/>
              </w:rPr>
              <w:t xml:space="preserve">Spearman correlation,</w:t>
            </w:r>
            <w:r>
              <w:rPr>
                <w:sz w:val="17"/>
              </w:rPr>
              <w:t xml:space="preserve"> </w:t>
            </w:r>
            <m:oMath>
              <m:r>
                <m:t>p</m:t>
              </m:r>
              <m:r>
                <m:rPr>
                  <m:sty m:val="p"/>
                </m:rPr>
                <m:t>&lt;</m:t>
              </m:r>
              <m:r>
                <m:t>0.05</m:t>
              </m:r>
            </m:oMath>
          </w:p>
        </w:tc>
      </w:tr>
      <w:t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7"/>
    <w:bookmarkStart w:id="28" w:name="reproducibility"/>
    <w:p>
      <w:pPr>
        <w:pStyle w:val="Heading2"/>
      </w:pPr>
      <w:r>
        <w:t xml:space="preserve">4.5 Reproducibility</w:t>
      </w:r>
    </w:p>
    <w:p>
      <w:pPr>
        <w:pStyle w:val="FirstParagraph"/>
        <w:jc w:val="both"/>
      </w:pPr>
      <w:r>
        <w:t xml:space="preserve">All experiments run on CPU (2 threads) with fixed seeds. Every reported number is</w:t>
      </w:r>
      <w:r>
        <w:t xml:space="preserve"> </w:t>
      </w:r>
      <w:r>
        <w:t xml:space="preserve">written to a JSON artifact under</w:t>
      </w:r>
      <w:r>
        <w:t xml:space="preserve"> </w:t>
      </w:r>
      <w:r>
        <w:rPr>
          <w:rStyle w:val="VerbatimChar"/>
        </w:rPr>
        <w:t xml:space="preserve">results/raw/</w:t>
      </w:r>
      <w:r>
        <w:t xml:space="preserve"> </w:t>
      </w:r>
      <w:r>
        <w:t xml:space="preserve">together with its configuration,</w:t>
      </w:r>
      <w:r>
        <w:t xml:space="preserve"> </w:t>
      </w:r>
      <w:r>
        <w:t xml:space="preserve">and dataset caches are written atomically so that an interrupted run cannot</w:t>
      </w:r>
      <w:r>
        <w:t xml:space="preserve"> </w:t>
      </w:r>
      <w:r>
        <w:t xml:space="preserve">leave a partial cache.</w:t>
      </w:r>
    </w:p>
    <w:bookmarkEnd w:id="28"/>
    <w:bookmarkEnd w:id="29"/>
    <w:bookmarkStart w:id="53" w:name="results"/>
    <w:p>
      <w:pPr>
        <w:pStyle w:val="Heading1"/>
      </w:pPr>
      <w:r>
        <w:t xml:space="preserve">5. Results</w:t>
      </w:r>
    </w:p>
    <w:p>
      <w:pPr>
        <w:pStyle w:val="FirstParagraph"/>
        <w:jc w:val="both"/>
      </w:pPr>
      <w:r>
        <w:t xml:space="preserve">Results follow the order of the audit: metadata-only feasibility (§5.1),</w:t>
      </w:r>
      <w:r>
        <w:t xml:space="preserve"> </w:t>
      </w:r>
      <w:r>
        <w:t xml:space="preserve">coverage (§5.2), attribution (§5.3), dose–response (§5.4) and robustness (§5.5).</w:t>
      </w:r>
      <w:r>
        <w:t xml:space="preserve"> </w:t>
      </w:r>
      <w:r>
        <w:t xml:space="preserve">B1 and B12 are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6"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On the PTB-XL calibration fold (fold 9, 2,183 records), patient</w:t>
      </w:r>
      <w:r>
        <w:t xml:space="preserve"> </w:t>
      </w:r>
      <w:r>
        <w:t xml:space="preserve">blocking is feasible at every conventional</w:t>
      </w:r>
      <w:r>
        <w:t xml:space="preserve"> </w:t>
      </w:r>
      <m:oMath>
        <m:r>
          <m:t>α</m:t>
        </m:r>
      </m:oMath>
      <w:r>
        <w:t xml:space="preserve">, whereas each coarser source</w:t>
      </w:r>
      <w:r>
        <w:t xml:space="preserve"> </w:t>
      </w:r>
      <w:r>
        <w:t xml:space="preserve">narrows the admissible range. Table III lists, for every grouping, the number of</w:t>
      </w:r>
      <w:r>
        <w:t xml:space="preserve"> </w:t>
      </w:r>
      <w:r>
        <w:t xml:space="preserve">calibration blocks, the resulting</w:t>
      </w:r>
      <w:r>
        <w:t xml:space="preserve"> </w:t>
      </w:r>
      <m:oMath>
        <m:sSub>
          <m:e>
            <m:r>
              <m:t>α</m:t>
            </m:r>
          </m:e>
          <m:sub>
            <m:r>
              <m:rPr>
                <m:sty m:val="p"/>
              </m:rPr>
              <m:t>min</m:t>
            </m:r>
          </m:sub>
        </m:sSub>
      </m:oMath>
      <w:r>
        <w:t xml:space="preserve"> </w:t>
      </w:r>
      <w:r>
        <w:t xml:space="preserve">and the conventional levels it</w:t>
      </w:r>
      <w:r>
        <w:t xml:space="preserve"> </w:t>
      </w:r>
      <w:r>
        <w:t xml:space="preserve">can support.</w:t>
      </w:r>
    </w:p>
    <w:p>
      <w:pPr>
        <w:pStyle w:val="BodyText"/>
        <w:keepNext/>
        <w:spacing w:before="160"/>
        <w:jc w:val="center"/>
      </w:pPr>
      <w:r/>
      <w:r>
        <w:rPr>
          <w:sz w:val="18"/>
        </w:rPr>
        <w:t>TABLE III</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site-level row needs a qualification. Of the 40 sites in fold 9, 37 occur</w:t>
      </w:r>
      <w:r>
        <w:t xml:space="preserve"> </w:t>
      </w:r>
      <w:r>
        <w:t xml:space="preserve">only among the 223 records whose</w:t>
      </w:r>
      <w:r>
        <w:t xml:space="preserve"> </w:t>
      </w:r>
      <w:r>
        <w:rPr>
          <w:rStyle w:val="VerbatimChar"/>
        </w:rPr>
        <w:t xml:space="preserve">nurse</w:t>
      </w:r>
      <w:r>
        <w:t xml:space="preserve"> </w:t>
      </w:r>
      <w:r>
        <w:t xml:space="preserve">field is empty, while the 1,960 records</w:t>
      </w:r>
      <w:r>
        <w:t xml:space="preserve"> </w:t>
      </w:r>
      <w:r>
        <w:t xml:space="preserve">with complete metadata come from 3 sites; site-level blocking is therefore</w:t>
      </w:r>
      <w:r>
        <w:t xml:space="preserve"> </w:t>
      </w:r>
      <w:r>
        <w:t xml:space="preserve">admissible only because of a metadata-incomplete minority that appears to come</w:t>
      </w:r>
      <w:r>
        <w:t xml:space="preserve"> </w:t>
      </w:r>
      <w:r>
        <w:t xml:space="preserve">from a different collection regime. Fig. 3 places these groupings, the joins</w:t>
      </w:r>
      <w:r>
        <w:t xml:space="preserve"> </w:t>
      </w:r>
      <w:r>
        <w:t xml:space="preserve">examined next and the MIT-BIH record partition on the feasibility frontier, so</w:t>
      </w:r>
      <w:r>
        <w:t xml:space="preserve"> </w:t>
      </w:r>
      <w:r>
        <w:t xml:space="preserve">that each can be read against the dotted line of a target</w:t>
      </w:r>
      <w:r>
        <w:t xml:space="preserve"> </w:t>
      </w:r>
      <m:oMath>
        <m:r>
          <m:t>α</m:t>
        </m:r>
      </m:oMath>
      <w:r>
        <w:t xml:space="preserve">.</w:t>
      </w:r>
    </w:p>
    <w:p>
      <w:pPr>
        <w:pStyle w:val="CaptionedFigure"/>
        <w:jc w:val="both"/>
      </w:pPr>
      <w:r>
        <w:drawing>
          <wp:inline>
            <wp:extent cx="3108960" cy="2176272"/>
            <wp:effectExtent b="0" l="0" r="0" t="0"/>
            <wp:docPr descr="Fig. 3.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31" name="Picture"/>
            <a:graphic>
              <a:graphicData uri="http://schemas.openxmlformats.org/drawingml/2006/picture">
                <pic:pic>
                  <pic:nvPicPr>
                    <pic:cNvPr descr="figures/fig3_feasibility_frontier.png" id="32" name="Picture"/>
                    <pic:cNvPicPr>
                      <a:picLocks noChangeArrowheads="1" noChangeAspect="1"/>
                    </pic:cNvPicPr>
                  </pic:nvPicPr>
                  <pic:blipFill>
                    <a:blip r:embed="rId30"/>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3.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The PTB-XL sources are crossed: 46 patients span more than</w:t>
      </w:r>
      <w:r>
        <w:t xml:space="preserve"> </w:t>
      </w:r>
      <w:r>
        <w:t xml:space="preserve">one site, 247 more than one nurse and 174 more than one device. Controlling</w:t>
      </w:r>
      <w:r>
        <w:t xml:space="preserve"> </w:t>
      </w:r>
      <w:r>
        <w:t xml:space="preserve">several sources therefore requires their join, which coarsens quickly. On all</w:t>
      </w:r>
      <w:r>
        <w:t xml:space="preserve"> </w:t>
      </w:r>
      <w:r>
        <w:t xml:space="preserve">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w:t>
      </w:r>
      <w:r>
        <w:t xml:space="preserve"> </w:t>
      </w:r>
      <w:r>
        <w:t xml:space="preserve">and all four sources leave a single block (</w:t>
      </w:r>
      <m:oMath>
        <m:sSub>
          <m:e>
            <m:r>
              <m:t>α</m:t>
            </m:r>
          </m:e>
          <m:sub>
            <m:r>
              <m:rPr>
                <m:sty m:val="p"/>
              </m:rPr>
              <m:t>min</m:t>
            </m:r>
          </m:sub>
        </m:sSub>
        <m:r>
          <m:rPr>
            <m:sty m:val="p"/>
          </m:rPr>
          <m:t>=</m:t>
        </m:r>
        <m:r>
          <m:t>0.5</m:t>
        </m:r>
      </m:oMath>
      <w:r>
        <w:t xml:space="preserve">). On the 1,960</w:t>
      </w:r>
      <w:r>
        <w:t xml:space="preserve"> </w:t>
      </w:r>
      <w:r>
        <w:t xml:space="preserve">records with complete metadata we enumerated all 15 joins of the four declared</w:t>
      </w:r>
      <w:r>
        <w:t xml:space="preserve"> </w:t>
      </w:r>
      <w:r>
        <w:t xml:space="preserve">sources: 8 satisfy sufficiency, and all 8 have</w:t>
      </w:r>
      <w:r>
        <w:t xml:space="preserve"> </w:t>
      </w:r>
      <m:oMath>
        <m:sSub>
          <m:e>
            <m:r>
              <m:t>K</m:t>
            </m:r>
          </m:e>
          <m:sub>
            <m:r>
              <m:t>1</m:t>
            </m:r>
          </m:sub>
        </m:sSub>
        <m:r>
          <m:rPr>
            <m:sty m:val="p"/>
          </m:rPr>
          <m:t>=</m:t>
        </m:r>
        <m:r>
          <m:t>1</m:t>
        </m:r>
      </m:oMath>
      <w:r>
        <w:t xml:space="preserve">.</w:t>
      </w:r>
      <w:r>
        <w:t xml:space="preserve"> </w:t>
      </w:r>
      <w:r>
        <w:rPr>
          <w:i/>
          <w:iCs/>
        </w:rPr>
        <w:t xml:space="preserve">If patient, site, nurse,</w:t>
      </w:r>
      <w:r>
        <w:rPr>
          <w:i/>
          <w:iCs/>
        </w:rPr>
        <w:t xml:space="preserve"> </w:t>
      </w:r>
      <w:r>
        <w:rPr>
          <w:i/>
          <w:iCs/>
        </w:rPr>
        <w:t xml:space="preserve">and device are all treated as dependence sources, no admissible calibration</w:t>
      </w:r>
      <w:r>
        <w:rPr>
          <w:i/>
          <w:iCs/>
        </w:rPr>
        <w:t xml:space="preserve"> </w:t>
      </w:r>
      <w:r>
        <w:rPr>
          <w:i/>
          <w:iCs/>
        </w:rPr>
        <w:t xml:space="preserve">grouping exists at any conventional</w:t>
      </w:r>
      <w:r>
        <w:rPr>
          <w:i/>
          <w:iCs/>
        </w:rPr>
        <w:t xml:space="preserve"> </w:t>
      </w:r>
      <m:oMath>
        <m:r>
          <m:t>α</m:t>
        </m:r>
      </m:oMath>
      <w:r>
        <w:rPr>
          <w:i/>
          <w:iCs/>
        </w:rPr>
        <w:t xml:space="preserve">.</w:t>
      </w:r>
      <w:r>
        <w:t xml:space="preserve"> </w:t>
      </w:r>
      <w:r>
        <w:t xml:space="preserve">This conclusion holds only for</w:t>
      </w:r>
      <w:r>
        <w:t xml:space="preserve"> </w:t>
      </w:r>
      <w:r>
        <w:t xml:space="preserve">that declaration, which cannot be verified from data (§6.4); the collapse of</w:t>
      </w:r>
      <w:r>
        <w:t xml:space="preserve"> </w:t>
      </w:r>
      <w:r>
        <w:t xml:space="preserve">joined partitions into a giant component is itself known [41].</w:t>
      </w:r>
    </w:p>
    <w:p>
      <w:pPr>
        <w:pStyle w:val="BodyText"/>
        <w:jc w:val="both"/>
      </w:pPr>
      <w:r>
        <w:rPr>
          <w:b/>
          <w:bCs/>
        </w:rPr>
        <w:t xml:space="preserve">Labels.</w:t>
      </w:r>
      <w:r>
        <w:t xml:space="preserve"> </w:t>
      </w:r>
      <w:r>
        <w:t xml:space="preserve">For label-conditional coverage, Proposition 3 applies label by label,</w:t>
      </w:r>
      <w:r>
        <w:t xml:space="preserve"> </w:t>
      </w:r>
      <w:r>
        <w:t xml:space="preserve">and the feasible region shrinks as the hierarchy is refined. Every superclass is</w:t>
      </w:r>
      <w:r>
        <w:t xml:space="preserve"> </w:t>
      </w:r>
      <w:r>
        <w:t xml:space="preserve">feasible, but 24 of 44 SCP 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has a single</w:t>
      </w:r>
      <w:r>
        <w:t xml:space="preserve"> </w:t>
      </w:r>
      <w:r>
        <w:t xml:space="preserve">calibration block, and a Bonferroni requirement across labels leaves 43 of 44</w:t>
      </w:r>
      <w:r>
        <w:t xml:space="preserve"> </w:t>
      </w:r>
      <w:r>
        <w:t xml:space="preserve">codes infeasible at a family-wise</w:t>
      </w:r>
      <w:r>
        <w:t xml:space="preserve"> </w:t>
      </w:r>
      <m:oMath>
        <m:r>
          <m:t>α</m:t>
        </m:r>
        <m:r>
          <m:rPr>
            <m:sty m:val="p"/>
          </m:rPr>
          <m:t>=</m:t>
        </m:r>
        <m:r>
          <m:t>0.05</m:t>
        </m:r>
      </m:oMath>
      <w:r>
        <w:t xml:space="preserve">. Table IV counts the failing</w:t>
      </w:r>
      <w:r>
        <w:t xml:space="preserve"> </w:t>
      </w:r>
      <w:r>
        <w:t xml:space="preserve">labels at each level of the hierarchy.</w:t>
      </w:r>
    </w:p>
    <w:p>
      <w:pPr>
        <w:pStyle w:val="BodyText"/>
        <w:keepNext/>
        <w:spacing w:before="160"/>
        <w:jc w:val="center"/>
      </w:pPr>
      <w:r/>
      <w:r>
        <w:rPr>
          <w:sz w:val="18"/>
        </w:rPr>
        <w:t>TABLE IV</w:t>
      </w:r>
      <w:r>
        <w:br/>
      </w:r>
      <w:r>
        <w:rPr>
          <w:sz w:val="16"/>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jc w:val="both"/>
      </w:pPr>
      <w:r>
        <w:t xml:space="preserve">Monotonicity along the hierarchy held in all 23 parent–child pairs, and MIT-BIH</w:t>
      </w:r>
      <w:r>
        <w:t xml:space="preserve"> </w:t>
      </w:r>
      <w:r>
        <w:t xml:space="preserve">class Q occupies</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4 resolves the</w:t>
      </w:r>
      <w:r>
        <w:t xml:space="preserve"> </w:t>
      </w:r>
      <w:r>
        <w:t xml:space="preserve">counts of Table IV label by label, marking the minimum number of blocks needed</w:t>
      </w:r>
      <w:r>
        <w:t xml:space="preserve"> </w:t>
      </w:r>
      <w:r>
        <w:t xml:space="preserve">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w:t>
      </w:r>
    </w:p>
    <w:p>
      <w:pPr>
        <w:pStyle w:val="CaptionedFigure"/>
        <w:jc w:val="both"/>
      </w:pPr>
      <w:r>
        <w:drawing>
          <wp:inline>
            <wp:extent cx="5334000" cy="1604287"/>
            <wp:effectExtent b="0" l="0" r="0" t="0"/>
            <wp:docPr descr="Fig. 4.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4" name="Picture"/>
            <a:graphic>
              <a:graphicData uri="http://schemas.openxmlformats.org/drawingml/2006/picture">
                <pic:pic>
                  <pic:nvPicPr>
                    <pic:cNvPr descr="figures/fig4_label_feasibility.png" id="35" name="Picture"/>
                    <pic:cNvPicPr>
                      <a:picLocks noChangeArrowheads="1" noChangeAspect="1"/>
                    </pic:cNvPicPr>
                  </pic:nvPicPr>
                  <pic:blipFill>
                    <a:blip r:embed="rId33"/>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4.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36"/>
    <w:bookmarkStart w:id="40"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whereas on PTB-XL it is at or</w:t>
      </w:r>
      <w:r>
        <w:t xml:space="preserve"> </w:t>
      </w:r>
      <w:r>
        <w:t xml:space="preserve">above nominal. Table V reports coverage and set size of both methods for the</w:t>
      </w:r>
      <w:r>
        <w:t xml:space="preserve"> </w:t>
      </w:r>
      <w:r>
        <w:t xml:space="preserve">primary backbones.</w:t>
      </w:r>
    </w:p>
    <w:p>
      <w:pPr>
        <w:pStyle w:val="BodyText"/>
        <w:keepNext/>
        <w:spacing w:before="160"/>
        <w:jc w:val="center"/>
      </w:pPr>
      <w:r/>
      <w:r>
        <w:rPr>
          <w:sz w:val="18"/>
        </w:rPr>
        <w:t>TABLE V</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c>
          <w:tcPr/>
          <w:p>
            <w:pPr>
              <w:pStyle w:val="Compact"/>
              <w:keepNext/>
            </w:pPr>
            <w:r>
              <w:rPr>
                <w:sz w:val="17"/>
              </w:rPr>
              <w:t xml:space="preserve">MIT-BIH</w:t>
            </w:r>
          </w:p>
        </w:tc>
        <w:tc>
          <w:tcPr/>
          <w:p>
            <w:pPr>
              <w:pStyle w:val="Compact"/>
              <w:keepNext/>
              <w:jc w:val="right"/>
            </w:pPr>
            <w:r>
              <w:rPr>
                <w:sz w:val="17"/>
              </w:rPr>
              <w:t xml:space="preserve">0.01‡</w:t>
            </w:r>
          </w:p>
        </w:tc>
        <w:tc>
          <w:tcPr/>
          <w:p>
            <w:pPr>
              <w:pStyle w:val="Compact"/>
              <w:keepNext/>
            </w:pPr>
            <w:r>
              <w:rPr>
                <w:sz w:val="17"/>
              </w:rPr>
              <w:t xml:space="preserve">0.9673 [0.9137, 0.9997]</w:t>
            </w:r>
          </w:p>
        </w:tc>
        <w:tc>
          <w:tcPr/>
          <w:p>
            <w:pPr>
              <w:pStyle w:val="Compact"/>
              <w:keepNext/>
              <w:jc w:val="right"/>
            </w:pPr>
            <w:r>
              <w:rPr>
                <w:sz w:val="17"/>
              </w:rPr>
              <w:t xml:space="preserve">1.0000</w:t>
            </w:r>
          </w:p>
        </w:tc>
        <w:tc>
          <w:tcPr/>
          <w:p>
            <w:pPr>
              <w:pStyle w:val="Compact"/>
              <w:keepNext/>
              <w:jc w:val="right"/>
            </w:pPr>
            <w:r>
              <w:rPr>
                <w:sz w:val="17"/>
              </w:rPr>
              <w:t xml:space="preserve">2.695</w:t>
            </w:r>
          </w:p>
        </w:tc>
        <w:tc>
          <w:tcPr/>
          <w:p>
            <w:pPr>
              <w:pStyle w:val="Compact"/>
              <w:keepNext/>
              <w:jc w:val="right"/>
            </w:pPr>
            <w:r>
              <w:rPr>
                <w:sz w:val="17"/>
              </w:rPr>
              <w:t xml:space="preserve">5.000</w:t>
            </w:r>
          </w:p>
        </w:tc>
      </w:tr>
      <w:t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0.9398 [0.8045, 0.9974]</w:t>
            </w:r>
          </w:p>
        </w:tc>
        <w:tc>
          <w:tcPr/>
          <w:p>
            <w:pPr>
              <w:pStyle w:val="Compact"/>
              <w:keepNext/>
              <w:jc w:val="right"/>
            </w:pPr>
            <w:r>
              <w:rPr>
                <w:sz w:val="17"/>
              </w:rPr>
              <w:t xml:space="preserve">1.0000</w:t>
            </w:r>
          </w:p>
        </w:tc>
        <w:tc>
          <w:tcPr/>
          <w:p>
            <w:pPr>
              <w:pStyle w:val="Compact"/>
              <w:keepNext/>
              <w:jc w:val="right"/>
            </w:pPr>
            <w:r>
              <w:rPr>
                <w:sz w:val="17"/>
              </w:rPr>
              <w:t xml:space="preserve">1.690</w:t>
            </w:r>
          </w:p>
        </w:tc>
        <w:tc>
          <w:tcPr/>
          <w:p>
            <w:pPr>
              <w:pStyle w:val="Compact"/>
              <w:keepNext/>
              <w:jc w:val="right"/>
            </w:pPr>
            <w:r>
              <w:rPr>
                <w:sz w:val="17"/>
              </w:rPr>
              <w:t xml:space="preserve">5.000</w:t>
            </w:r>
          </w:p>
        </w:tc>
      </w:tr>
      <w:tr>
        <w:tc>
          <w:tcPr/>
          <w:p>
            <w:pPr>
              <w:pStyle w:val="Compact"/>
              <w:keepNext/>
            </w:pPr>
          </w:p>
        </w:tc>
        <w:tc>
          <w:tcPr/>
          <w:p>
            <w:pPr>
              <w:pStyle w:val="Compact"/>
              <w:keepNext/>
              <w:jc w:val="right"/>
            </w:pPr>
            <w:r>
              <w:rPr>
                <w:sz w:val="17"/>
              </w:rPr>
              <w:t xml:space="preserve">0.10</w:t>
            </w:r>
          </w:p>
        </w:tc>
        <w:tc>
          <w:tcPr/>
          <w:p>
            <w:pPr>
              <w:pStyle w:val="Compact"/>
              <w:keepNext/>
            </w:pPr>
            <w:r>
              <w:rPr>
                <w:sz w:val="17"/>
              </w:rPr>
              <w:t xml:space="preserve">0.8851 [0.6887, 0.9788]</w:t>
            </w:r>
          </w:p>
        </w:tc>
        <w:tc>
          <w:tcPr/>
          <w:p>
            <w:pPr>
              <w:pStyle w:val="Compact"/>
              <w:keepNext/>
              <w:jc w:val="right"/>
            </w:pPr>
            <w:r>
              <w:rPr>
                <w:sz w:val="17"/>
              </w:rPr>
              <w:t xml:space="preserve">0.9615</w:t>
            </w:r>
          </w:p>
        </w:tc>
        <w:tc>
          <w:tcPr/>
          <w:p>
            <w:pPr>
              <w:pStyle w:val="Compact"/>
              <w:keepNext/>
              <w:jc w:val="right"/>
            </w:pPr>
            <w:r>
              <w:rPr>
                <w:sz w:val="17"/>
              </w:rPr>
              <w:t xml:space="preserve">1.051</w:t>
            </w:r>
          </w:p>
        </w:tc>
        <w:tc>
          <w:tcPr/>
          <w:p>
            <w:pPr>
              <w:pStyle w:val="Compact"/>
              <w:keepNext/>
              <w:jc w:val="right"/>
            </w:pPr>
            <w:r>
              <w:rPr>
                <w:sz w:val="17"/>
              </w:rPr>
              <w:t xml:space="preserve">2.434</w:t>
            </w:r>
          </w:p>
        </w:tc>
      </w:tr>
      <w:tr>
        <w:tc>
          <w:tcPr/>
          <w:p>
            <w:pPr>
              <w:pStyle w:val="Compact"/>
              <w:keepNext/>
            </w:pPr>
          </w:p>
        </w:tc>
        <w:tc>
          <w:tcPr/>
          <w:p>
            <w:pPr>
              <w:pStyle w:val="Compact"/>
              <w:keepNext/>
              <w:jc w:val="right"/>
            </w:pPr>
            <w:r>
              <w:rPr>
                <w:sz w:val="17"/>
              </w:rPr>
              <w:t xml:space="preserve">0.15</w:t>
            </w:r>
          </w:p>
        </w:tc>
        <w:tc>
          <w:tcPr/>
          <w:p>
            <w:pPr>
              <w:pStyle w:val="Compact"/>
              <w:keepNext/>
            </w:pPr>
            <w:r>
              <w:rPr>
                <w:sz w:val="17"/>
              </w:rPr>
              <w:t xml:space="preserve">0.8279 [0.6151, 0.9602]</w:t>
            </w:r>
          </w:p>
        </w:tc>
        <w:tc>
          <w:tcPr/>
          <w:p>
            <w:pPr>
              <w:pStyle w:val="Compact"/>
              <w:keepNext/>
              <w:jc w:val="right"/>
            </w:pPr>
            <w:r>
              <w:rPr>
                <w:sz w:val="17"/>
              </w:rPr>
              <w:t xml:space="preserve">0.9234</w:t>
            </w:r>
          </w:p>
        </w:tc>
        <w:tc>
          <w:tcPr/>
          <w:p>
            <w:pPr>
              <w:pStyle w:val="Compact"/>
              <w:keepNext/>
              <w:jc w:val="right"/>
            </w:pPr>
            <w:r>
              <w:rPr>
                <w:sz w:val="17"/>
              </w:rPr>
              <w:t xml:space="preserve">0.924</w:t>
            </w:r>
          </w:p>
        </w:tc>
        <w:tc>
          <w:tcPr/>
          <w:p>
            <w:pPr>
              <w:pStyle w:val="Compact"/>
              <w:keepNext/>
              <w:jc w:val="right"/>
            </w:pPr>
            <w:r>
              <w:rPr>
                <w:sz w:val="17"/>
              </w:rPr>
              <w:t xml:space="preserve">1.443</w:t>
            </w:r>
          </w:p>
        </w:tc>
      </w:tr>
      <w:tr>
        <w:tc>
          <w:tcPr/>
          <w:p>
            <w:pPr>
              <w:pStyle w:val="Compact"/>
              <w:keepNext/>
            </w:pPr>
          </w:p>
        </w:tc>
        <w:tc>
          <w:tcPr/>
          <w:p>
            <w:pPr>
              <w:pStyle w:val="Compact"/>
              <w:keepNext/>
              <w:jc w:val="right"/>
            </w:pPr>
            <w:r>
              <w:rPr>
                <w:sz w:val="17"/>
              </w:rPr>
              <w:t xml:space="preserve">0.20</w:t>
            </w:r>
          </w:p>
        </w:tc>
        <w:tc>
          <w:tcPr/>
          <w:p>
            <w:pPr>
              <w:pStyle w:val="Compact"/>
              <w:keepNext/>
            </w:pPr>
            <w:r>
              <w:rPr>
                <w:sz w:val="17"/>
              </w:rPr>
              <w:t xml:space="preserve">0.7764 [0.5542, 0.9462]</w:t>
            </w:r>
          </w:p>
        </w:tc>
        <w:tc>
          <w:tcPr/>
          <w:p>
            <w:pPr>
              <w:pStyle w:val="Compact"/>
              <w:keepNext/>
              <w:jc w:val="right"/>
            </w:pPr>
            <w:r>
              <w:rPr>
                <w:sz w:val="17"/>
              </w:rPr>
              <w:t xml:space="preserve">0.8642</w:t>
            </w:r>
          </w:p>
        </w:tc>
        <w:tc>
          <w:tcPr/>
          <w:p>
            <w:pPr>
              <w:pStyle w:val="Compact"/>
              <w:keepNext/>
              <w:jc w:val="right"/>
            </w:pPr>
            <w:r>
              <w:rPr>
                <w:sz w:val="17"/>
              </w:rPr>
              <w:t xml:space="preserve">0.834</w:t>
            </w:r>
          </w:p>
        </w:tc>
        <w:tc>
          <w:tcPr/>
          <w:p>
            <w:pPr>
              <w:pStyle w:val="Compact"/>
              <w:keepNext/>
              <w:jc w:val="right"/>
            </w:pPr>
            <w:r>
              <w:rPr>
                <w:sz w:val="17"/>
              </w:rPr>
              <w:t xml:space="preserve">1.001</w:t>
            </w:r>
          </w:p>
        </w:tc>
      </w:tr>
      <w:tr>
        <w:tc>
          <w:tcPr/>
          <w:p>
            <w:pPr>
              <w:pStyle w:val="Compact"/>
              <w:keepNext/>
            </w:pPr>
            <w:r>
              <w:rPr>
                <w:sz w:val="17"/>
              </w:rPr>
              <w:t xml:space="preserve">PTB-XL</w:t>
            </w:r>
          </w:p>
        </w:tc>
        <w:tc>
          <w:tcPr/>
          <w:p>
            <w:pPr>
              <w:pStyle w:val="Compact"/>
              <w:keepNext/>
              <w:jc w:val="right"/>
            </w:pPr>
            <w:r>
              <w:rPr>
                <w:sz w:val="17"/>
              </w:rPr>
              <w:t xml:space="preserve">0.01</w:t>
            </w:r>
          </w:p>
        </w:tc>
        <w:tc>
          <w:tcPr/>
          <w:p>
            <w:pPr>
              <w:pStyle w:val="Compact"/>
              <w:keepNext/>
            </w:pPr>
            <w:r>
              <w:rPr>
                <w:sz w:val="17"/>
              </w:rPr>
              <w:t xml:space="preserve">0.9910 [0.9823, 0.9972]</w:t>
            </w:r>
          </w:p>
        </w:tc>
        <w:tc>
          <w:tcPr/>
          <w:p>
            <w:pPr>
              <w:pStyle w:val="Compact"/>
              <w:keepNext/>
              <w:jc w:val="right"/>
            </w:pPr>
            <w:r>
              <w:rPr>
                <w:sz w:val="17"/>
              </w:rPr>
              <w:t xml:space="preserve">0.9912</w:t>
            </w:r>
          </w:p>
        </w:tc>
        <w:tc>
          <w:tcPr/>
          <w:p>
            <w:pPr>
              <w:pStyle w:val="Compact"/>
              <w:keepNext/>
              <w:jc w:val="right"/>
            </w:pPr>
            <w:r>
              <w:rPr>
                <w:sz w:val="17"/>
              </w:rPr>
              <w:t xml:space="preserve">3.769</w:t>
            </w:r>
          </w:p>
        </w:tc>
        <w:tc>
          <w:tcPr/>
          <w:p>
            <w:pPr>
              <w:pStyle w:val="Compact"/>
              <w:keepNext/>
              <w:jc w:val="right"/>
            </w:pPr>
            <w:r>
              <w:rPr>
                <w:sz w:val="17"/>
              </w:rPr>
              <w:t xml:space="preserve">3.788</w:t>
            </w:r>
          </w:p>
        </w:tc>
      </w:tr>
      <w:t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0.9511 [0.9318, 0.9673]</w:t>
            </w:r>
          </w:p>
        </w:tc>
        <w:tc>
          <w:tcPr/>
          <w:p>
            <w:pPr>
              <w:pStyle w:val="Compact"/>
              <w:keepNext/>
              <w:jc w:val="right"/>
            </w:pPr>
            <w:r>
              <w:rPr>
                <w:sz w:val="17"/>
              </w:rPr>
              <w:t xml:space="preserve">0.9510</w:t>
            </w:r>
          </w:p>
        </w:tc>
        <w:tc>
          <w:tcPr/>
          <w:p>
            <w:pPr>
              <w:pStyle w:val="Compact"/>
              <w:keepNext/>
              <w:jc w:val="right"/>
            </w:pPr>
            <w:r>
              <w:rPr>
                <w:sz w:val="17"/>
              </w:rPr>
              <w:t xml:space="preserve">2.741</w:t>
            </w:r>
          </w:p>
        </w:tc>
        <w:tc>
          <w:tcPr/>
          <w:p>
            <w:pPr>
              <w:pStyle w:val="Compact"/>
              <w:keepNext/>
              <w:jc w:val="right"/>
            </w:pPr>
            <w:r>
              <w:rPr>
                <w:sz w:val="17"/>
              </w:rPr>
              <w:t xml:space="preserve">2.742</w:t>
            </w:r>
          </w:p>
        </w:tc>
      </w:tr>
      <w:t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On MIT-BIH the split-to-split range nevertheless contains</w:t>
      </w:r>
      <w:r>
        <w:t xml:space="preserve"> </w:t>
      </w:r>
      <m:oMath>
        <m:r>
          <m:t>1</m:t>
        </m:r>
        <m:r>
          <m:rPr>
            <m:sty m:val="p"/>
          </m:rPr>
          <m:t>−</m:t>
        </m:r>
        <m:r>
          <m:t>α</m:t>
        </m:r>
      </m:oMath>
      <w:r>
        <w:t xml:space="preserve"> </w:t>
      </w:r>
      <w:r>
        <w:t xml:space="preserve">at every</w:t>
      </w:r>
      <w:r>
        <w:t xml:space="preserve"> </w:t>
      </w:r>
      <w:r>
        <w:t xml:space="preserve">level: with 11 test records no single split can reveal a deficit of this size,</w:t>
      </w:r>
      <w:r>
        <w:t xml:space="preserve"> </w:t>
      </w:r>
      <w:r>
        <w:t xml:space="preserve">so comparing means is not a test. B12 coverage must be read with set size — at</w:t>
      </w:r>
      <w:r>
        <w:t xml:space="preserve"> </w:t>
      </w:r>
      <m:oMath>
        <m:r>
          <m:t>α</m:t>
        </m:r>
        <m:r>
          <m:rPr>
            <m:sty m:val="p"/>
          </m:rPr>
          <m:t>=</m:t>
        </m:r>
        <m:r>
          <m:t>0.10</m:t>
        </m:r>
      </m:oMath>
      <w:r>
        <w:t xml:space="preserve"> </w:t>
      </w:r>
      <w:r>
        <w:t xml:space="preserve">HCP reaches 0.9615 with 2.43 of 5 labels, against 1.05 for B1, and</w:t>
      </w:r>
      <w:r>
        <w:t xml:space="preserve"> </w:t>
      </w:r>
      <w:r>
        <w:t xml:space="preserve">below</w:t>
      </w:r>
      <w:r>
        <w:t xml:space="preserve"> </w:t>
      </w:r>
      <m:oMath>
        <m:sSub>
          <m:e>
            <m:r>
              <m:t>α</m:t>
            </m:r>
          </m:e>
          <m:sub>
            <m:r>
              <m:rPr>
                <m:sty m:val="p"/>
              </m:rPr>
              <m:t>min</m:t>
            </m:r>
          </m:sub>
        </m:sSub>
      </m:oMath>
      <w:r>
        <w:t xml:space="preserve"> </w:t>
      </w:r>
      <w:r>
        <w:t xml:space="preserve">its perfect coverage is abstention. Fig. 5 shows both</w:t>
      </w:r>
      <w:r>
        <w:t xml:space="preserve"> </w:t>
      </w:r>
      <w:r>
        <w:t xml:space="preserve">effects at once, plotting the coverage gap of each method against nominal with</w:t>
      </w:r>
      <w:r>
        <w:t xml:space="preserve"> </w:t>
      </w:r>
      <w:r>
        <w:t xml:space="preserve">the levels below</w:t>
      </w:r>
      <w:r>
        <w:t xml:space="preserve"> </w:t>
      </w:r>
      <m:oMath>
        <m:sSub>
          <m:e>
            <m:r>
              <m:t>α</m:t>
            </m:r>
          </m:e>
          <m:sub>
            <m:r>
              <m:rPr>
                <m:sty m:val="p"/>
              </m:rPr>
              <m:t>min</m:t>
            </m:r>
          </m:sub>
        </m:sSub>
      </m:oMath>
      <w:r>
        <w:t xml:space="preserve"> </w:t>
      </w:r>
      <w:r>
        <w:t xml:space="preserve">shaded.</w:t>
      </w:r>
    </w:p>
    <w:p>
      <w:pPr>
        <w:pStyle w:val="CaptionedFigure"/>
        <w:jc w:val="both"/>
      </w:pPr>
      <w:r>
        <w:drawing>
          <wp:inline>
            <wp:extent cx="5334000" cy="1679032"/>
            <wp:effectExtent b="0" l="0" r="0" t="0"/>
            <wp:docPr descr="Fig. 5. Coverage minus nominal 1-\alpha for split conformal (B1, mean with 2.5–97.5% range across 200 block-level splits) and HCP (B12, mean), primary backbone. Shaded MIT-BIH levels lie below \alpha_{\min}=1/12, where HCP returns every label. Note the different vertical scales." title="" id="38" name="Picture"/>
            <a:graphic>
              <a:graphicData uri="http://schemas.openxmlformats.org/drawingml/2006/picture">
                <pic:pic>
                  <pic:nvPicPr>
                    <pic:cNvPr descr="figures/fig5_coverage.png" id="39" name="Picture"/>
                    <pic:cNvPicPr>
                      <a:picLocks noChangeArrowheads="1" noChangeAspect="1"/>
                    </pic:cNvPicPr>
                  </pic:nvPicPr>
                  <pic:blipFill>
                    <a:blip r:embed="rId37"/>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5.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40"/>
    <w:bookmarkStart w:id="44"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test whether B1 under-covers because of dependence, we</w:t>
      </w:r>
      <w:r>
        <w:t xml:space="preserve"> </w:t>
      </w:r>
      <w:r>
        <w:t xml:space="preserve">compared it with a matched null that permutes beat-to-record assignments in DS2.</w:t>
      </w:r>
      <w:r>
        <w:t xml:space="preserve"> </w:t>
      </w:r>
      <w:r>
        <w:t xml:space="preserve">The permutation preserves</w:t>
      </w:r>
      <w:r>
        <w:t xml:space="preserve"> </w:t>
      </w:r>
      <m:oMath>
        <m:sSub>
          <m:e>
            <m:r>
              <m:t>K</m:t>
            </m:r>
          </m:e>
          <m:sub>
            <m:r>
              <m:t>1</m:t>
            </m:r>
          </m:sub>
        </m:sSub>
        <m:r>
          <m:rPr>
            <m:sty m:val="p"/>
          </m:rPr>
          <m:t>=</m:t>
        </m:r>
        <m:r>
          <m:t>11</m:t>
        </m:r>
      </m:oMath>
      <w:r>
        <w:t xml:space="preserve">, the multiset of block sizes and the marginal</w:t>
      </w:r>
      <w:r>
        <w:t xml:space="preserve"> </w:t>
      </w:r>
      <w:r>
        <w:t xml:space="preserve">score distribution exactly, while reducing the score ICC from 0.519 to 0.000.</w:t>
      </w:r>
      <w:r>
        <w:t xml:space="preserve"> </w:t>
      </w:r>
      <w:r>
        <w:t xml:space="preserve">Table VI reports the B1 deficit against this null for each backbone; for the</w:t>
      </w:r>
      <w:r>
        <w:t xml:space="preserve"> </w:t>
      </w:r>
      <w:r>
        <w:t xml:space="preserve">primary backbone (first row) it is positive at all three feasible levels and</w:t>
      </w:r>
      <w:r>
        <w:t xml:space="preserve"> </w:t>
      </w:r>
      <w:r>
        <w:t xml:space="preserve">significant at each after Holm correction across levels (adjusted one-sided</w:t>
      </w:r>
      <w:r>
        <w:t xml:space="preserve"> </w:t>
      </w:r>
      <m:oMath>
        <m:r>
          <m:t>p</m:t>
        </m:r>
        <m:r>
          <m:rPr>
            <m:sty m:val="p"/>
          </m:rPr>
          <m:t>≤</m:t>
        </m:r>
        <m:r>
          <m:t>0.0075</m:t>
        </m:r>
      </m:oMath>
      <w:r>
        <w:t xml:space="preserve">).</w:t>
      </w:r>
    </w:p>
    <w:p>
      <w:pPr>
        <w:pStyle w:val="BodyText"/>
        <w:keepNext/>
        <w:spacing w:before="160"/>
        <w:jc w:val="center"/>
      </w:pPr>
      <w:r/>
      <w:r>
        <w:rPr>
          <w:sz w:val="18"/>
        </w:rPr>
        <w:t>TABLE VI</w:t>
      </w:r>
      <w:r>
        <w:br/>
      </w:r>
      <w:r>
        <w:rPr>
          <w:sz w:val="16"/>
        </w:rPr>
        <w:t>MIT-BIH: B1 DEFICIT AGAINST THE PERMUTATION NULL, PP [95% CI], WITH THE NUMBER OF LEVELS SIGNIFICANT BY 95% CI AND AFTER HOLM CORRECTION.</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080"/>
        <w:gridCol w:w="1080"/>
        <w:gridCol w:w="1080"/>
        <w:gridCol w:w="1080"/>
      </w:tblGrid>
      <w:tr>
        <w:trPr>
          <w:tblHeader w:val="on"/>
        </w:trPr>
        <w:tc>
          <w:tcPr/>
          <w:p>
            <w:pPr>
              <w:pStyle w:val="Compact"/>
              <w:keepNext/>
            </w:pPr>
            <w:r>
              <w:rPr>
                <w:b/>
                <w:sz w:val="17"/>
              </w:rPr>
              <w:t xml:space="preserve">Backbone</w:t>
            </w:r>
          </w:p>
        </w:tc>
        <w:tc>
          <w:tcPr/>
          <w:p>
            <w:pPr>
              <w:pStyle w:val="Compact"/>
              <w:keepNext/>
              <w:jc w:val="right"/>
            </w:pPr>
            <w:r>
              <w:rPr>
                <w:b/>
                <w:sz w:val="17"/>
              </w:rPr>
              <w:t xml:space="preserve">Score ICC</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c>
          <w:tcPr/>
          <w:p>
            <w:pPr>
              <w:pStyle w:val="Compact"/>
              <w:keepNext/>
              <w:jc w:val="center"/>
            </w:pPr>
            <w:r>
              <w:rPr>
                <w:b/>
                <w:sz w:val="17"/>
              </w:rPr>
              <w:t xml:space="preserve">CI</w:t>
            </w:r>
          </w:p>
        </w:tc>
        <w:tc>
          <w:tcPr/>
          <w:p>
            <w:pPr>
              <w:pStyle w:val="Compact"/>
              <w:keepNext/>
              <w:jc w:val="center"/>
            </w:pPr>
            <w:r>
              <w:rPr>
                <w:b/>
                <w:sz w:val="17"/>
              </w:rPr>
              <w:t xml:space="preserve">Holm</w:t>
            </w:r>
          </w:p>
        </w:tc>
      </w:tr>
      <w:tr>
        <w:tc>
          <w:tcPr/>
          <w:p>
            <w:pPr>
              <w:pStyle w:val="Compact"/>
              <w:keepNext/>
            </w:pPr>
            <w:r>
              <w:rPr>
                <w:sz w:val="17"/>
              </w:rPr>
              <w:t xml:space="preserve">SmallECGNet</w:t>
            </w:r>
          </w:p>
        </w:tc>
        <w:tc>
          <w:tcPr/>
          <w:p>
            <w:pPr>
              <w:pStyle w:val="Compact"/>
              <w:keepNext/>
              <w:jc w:val="right"/>
            </w:pPr>
            <w:r>
              <w:rPr>
                <w:sz w:val="17"/>
              </w:rPr>
              <w:t xml:space="preserve">0.519</w:t>
            </w:r>
          </w:p>
        </w:tc>
        <w:tc>
          <w:tcPr/>
          <w:p>
            <w:pPr>
              <w:pStyle w:val="Compact"/>
              <w:keepNext/>
            </w:pPr>
            <w:r>
              <w:rPr>
                <w:sz w:val="17"/>
              </w:rPr>
              <w:t xml:space="preserve">+1.49 [0.34, 2.71]</w:t>
            </w:r>
          </w:p>
        </w:tc>
        <w:tc>
          <w:tcPr/>
          <w:p>
            <w:pPr>
              <w:pStyle w:val="Compact"/>
              <w:keepNext/>
            </w:pPr>
            <w:r>
              <w:rPr>
                <w:sz w:val="17"/>
              </w:rPr>
              <w:t xml:space="preserve">+2.21 [0.85, 3.60]</w:t>
            </w:r>
          </w:p>
        </w:tc>
        <w:tc>
          <w:tcPr/>
          <w:p>
            <w:pPr>
              <w:pStyle w:val="Compact"/>
              <w:keepNext/>
            </w:pPr>
            <w:r>
              <w:rPr>
                <w:sz w:val="17"/>
              </w:rPr>
              <w:t xml:space="preserve">+2.37 [0.79, 3.93]</w:t>
            </w:r>
          </w:p>
        </w:tc>
        <w:tc>
          <w:tcPr/>
          <w:p>
            <w:pPr>
              <w:pStyle w:val="Compact"/>
              <w:keepNext/>
              <w:jc w:val="center"/>
            </w:pPr>
            <w:r>
              <w:rPr>
                <w:sz w:val="17"/>
              </w:rPr>
              <w:t xml:space="preserve">3/3</w:t>
            </w:r>
          </w:p>
        </w:tc>
        <w:tc>
          <w:tcPr/>
          <w:p>
            <w:pPr>
              <w:pStyle w:val="Compact"/>
              <w:keepNext/>
              <w:jc w:val="center"/>
            </w:pPr>
            <w:r>
              <w:rPr>
                <w:sz w:val="17"/>
              </w:rPr>
              <w:t xml:space="preserve">3/3</w:t>
            </w:r>
          </w:p>
        </w:tc>
      </w:tr>
      <w:tr>
        <w:tc>
          <w:tcPr/>
          <w:p>
            <w:pPr>
              <w:pStyle w:val="Compact"/>
              <w:keepNext/>
            </w:pPr>
            <w:r>
              <w:rPr>
                <w:sz w:val="17"/>
              </w:rPr>
              <w:t xml:space="preserve">ResNet1D-34</w:t>
            </w:r>
          </w:p>
        </w:tc>
        <w:tc>
          <w:tcPr/>
          <w:p>
            <w:pPr>
              <w:pStyle w:val="Compact"/>
              <w:keepNext/>
              <w:jc w:val="right"/>
            </w:pPr>
            <w:r>
              <w:rPr>
                <w:sz w:val="17"/>
              </w:rPr>
              <w:t xml:space="preserve">0.436</w:t>
            </w:r>
          </w:p>
        </w:tc>
        <w:tc>
          <w:tcPr/>
          <w:p>
            <w:pPr>
              <w:pStyle w:val="Compact"/>
              <w:keepNext/>
            </w:pPr>
            <w:r>
              <w:rPr>
                <w:sz w:val="17"/>
              </w:rPr>
              <w:t xml:space="preserve">+1.15 [0.10, 2.23]</w:t>
            </w:r>
          </w:p>
        </w:tc>
        <w:tc>
          <w:tcPr/>
          <w:p>
            <w:pPr>
              <w:pStyle w:val="Compact"/>
              <w:keepNext/>
            </w:pPr>
            <w:r>
              <w:rPr>
                <w:sz w:val="17"/>
              </w:rPr>
              <w:t xml:space="preserve">+1.02 [−0.16, 2.23]</w:t>
            </w:r>
          </w:p>
        </w:tc>
        <w:tc>
          <w:tcPr/>
          <w:p>
            <w:pPr>
              <w:pStyle w:val="Compact"/>
              <w:keepNext/>
            </w:pPr>
            <w:r>
              <w:rPr>
                <w:sz w:val="17"/>
              </w:rPr>
              <w:t xml:space="preserve">+0.81 [−0.59, 2.17]</w:t>
            </w:r>
          </w:p>
        </w:tc>
        <w:tc>
          <w:tcPr/>
          <w:p>
            <w:pPr>
              <w:pStyle w:val="Compact"/>
              <w:keepNext/>
              <w:jc w:val="center"/>
            </w:pPr>
            <w:r>
              <w:rPr>
                <w:sz w:val="17"/>
              </w:rPr>
              <w:t xml:space="preserve">1/3</w:t>
            </w:r>
          </w:p>
        </w:tc>
        <w:tc>
          <w:tcPr/>
          <w:p>
            <w:pPr>
              <w:pStyle w:val="Compact"/>
              <w:keepNext/>
              <w:jc w:val="center"/>
            </w:pPr>
            <w:r>
              <w:rPr>
                <w:sz w:val="17"/>
              </w:rPr>
              <w:t xml:space="preserve">0/3</w:t>
            </w:r>
          </w:p>
        </w:tc>
      </w:tr>
      <w:tr>
        <w:tc>
          <w:tcPr/>
          <w:p>
            <w:pPr>
              <w:pStyle w:val="Compact"/>
            </w:pPr>
            <w:r>
              <w:rPr>
                <w:sz w:val="17"/>
              </w:rPr>
              <w:t xml:space="preserve">ResNet1D-50</w:t>
            </w:r>
          </w:p>
        </w:tc>
        <w:tc>
          <w:tcPr/>
          <w:p>
            <w:pPr>
              <w:pStyle w:val="Compact"/>
              <w:jc w:val="right"/>
            </w:pPr>
            <w:r>
              <w:rPr>
                <w:sz w:val="17"/>
              </w:rPr>
              <w:t xml:space="preserve">0.462</w:t>
            </w:r>
          </w:p>
        </w:tc>
        <w:tc>
          <w:tcPr/>
          <w:p>
            <w:pPr>
              <w:pStyle w:val="Compact"/>
            </w:pPr>
            <w:r>
              <w:rPr>
                <w:sz w:val="17"/>
              </w:rPr>
              <w:t xml:space="preserve">+2.54 [1.25, 3.87]</w:t>
            </w:r>
          </w:p>
        </w:tc>
        <w:tc>
          <w:tcPr/>
          <w:p>
            <w:pPr>
              <w:pStyle w:val="Compact"/>
            </w:pPr>
            <w:r>
              <w:rPr>
                <w:sz w:val="17"/>
              </w:rPr>
              <w:t xml:space="preserve">+3.42 [1.91, 4.98]</w:t>
            </w:r>
          </w:p>
        </w:tc>
        <w:tc>
          <w:tcPr/>
          <w:p>
            <w:pPr>
              <w:pStyle w:val="Compact"/>
            </w:pPr>
            <w:r>
              <w:rPr>
                <w:sz w:val="17"/>
              </w:rPr>
              <w:t xml:space="preserve">+3.18 [1.54, 4.82]</w:t>
            </w:r>
          </w:p>
        </w:tc>
        <w:tc>
          <w:tcPr/>
          <w:p>
            <w:pPr>
              <w:pStyle w:val="Compact"/>
              <w:jc w:val="center"/>
            </w:pPr>
            <w:r>
              <w:rPr>
                <w:sz w:val="17"/>
              </w:rPr>
              <w:t xml:space="preserve">3/3</w:t>
            </w:r>
          </w:p>
        </w:tc>
        <w:tc>
          <w:tcPr/>
          <w:p>
            <w:pPr>
              <w:pStyle w:val="Compact"/>
              <w:jc w:val="center"/>
            </w:pPr>
            <w:r>
              <w:rPr>
                <w:sz w:val="17"/>
              </w:rPr>
              <w:t xml:space="preserve">3/3</w:t>
            </w:r>
          </w:p>
        </w:tc>
      </w:tr>
    </w:tbl>
    <w:p>
      <w:pPr>
        <w:pStyle w:val="BodyText"/>
        <w:jc w:val="both"/>
      </w:pPr>
      <w:r>
        <w:t xml:space="preserve">The same control shows why comparing B12 with B1 is uninformative. We define the</w:t>
      </w:r>
      <w:r>
        <w:t xml:space="preserve"> </w:t>
      </w:r>
      <w:r>
        <w:t xml:space="preserve">mechanical share as the ratio of the B12−B1 gap in the permuted arm to the gap on</w:t>
      </w:r>
      <w:r>
        <w:t xml:space="preserve"> </w:t>
      </w:r>
      <w:r>
        <w:t xml:space="preserve">the original data. It ranges from 81% to 107%: the gap barely changes once</w:t>
      </w:r>
      <w:r>
        <w:t xml:space="preserve"> </w:t>
      </w:r>
      <w:r>
        <w:t xml:space="preserve">dependence is removed, and at</w:t>
      </w:r>
      <w:r>
        <w:t xml:space="preserve"> </w:t>
      </w:r>
      <m:oMath>
        <m:r>
          <m:t>α</m:t>
        </m:r>
        <m:r>
          <m:rPr>
            <m:sty m:val="p"/>
          </m:rPr>
          <m:t>=</m:t>
        </m:r>
        <m:r>
          <m:t>0.10</m:t>
        </m:r>
      </m:oMath>
      <w:r>
        <w:t xml:space="preserve"> </w:t>
      </w:r>
      <w:r>
        <w:t xml:space="preserve">it is slightly larger without</w:t>
      </w:r>
      <w:r>
        <w:t xml:space="preserve"> </w:t>
      </w:r>
      <w:r>
        <w:t xml:space="preserve">dependence than with it, because HCP’s finite-block correction forces it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of dependence. We therefore withdrew</w:t>
      </w:r>
      <w:r>
        <w:t xml:space="preserve"> </w:t>
      </w:r>
      <w:r>
        <w:t xml:space="preserve">“B12 improves on B1”</w:t>
      </w:r>
      <w:r>
        <w:t xml:space="preserve"> </w:t>
      </w:r>
      <w:r>
        <w:t xml:space="preserve">as a criterion (§6.4) and rely throughout on the deficit</w:t>
      </w:r>
      <w:r>
        <w:t xml:space="preserve"> </w:t>
      </w:r>
      <w:r>
        <w:t xml:space="preserve">against the permutation null.</w:t>
      </w:r>
    </w:p>
    <w:p>
      <w:pPr>
        <w:pStyle w:val="BodyText"/>
        <w:jc w:val="both"/>
      </w:pPr>
      <w:r>
        <w:rPr>
          <w:b/>
          <w:bCs/>
        </w:rPr>
        <w:t xml:space="preserve">Factorial decomposition.</w:t>
      </w:r>
      <w:r>
        <w:t xml:space="preserve"> </w:t>
      </w:r>
      <w:r>
        <w:t xml:space="preserve">A 2×2 design crossed clustering (original vs.</w:t>
      </w:r>
      <w:r>
        <w:t xml:space="preserve"> </w:t>
      </w:r>
      <w:r>
        <w:t xml:space="preserve">randomized record membership) with block-size balance (balanced vs. imbalanced)</w:t>
      </w:r>
      <w:r>
        <w:t xml:space="preserve"> </w:t>
      </w:r>
      <w:r>
        <w:t xml:space="preserve">at fixed calibration size. Clustering reduced coverage by 1.22, 1.55 and 1.49 pp</w:t>
      </w:r>
      <w:r>
        <w:t xml:space="preserve"> </w:t>
      </w:r>
      <w:r>
        <w:t xml:space="preserve">at</w:t>
      </w:r>
      <w:r>
        <w:t xml:space="preserve"> </w:t>
      </w:r>
      <m:oMath>
        <m:r>
          <m:t>α</m:t>
        </m:r>
        <m:r>
          <m:rPr>
            <m:sty m:val="p"/>
          </m:rPr>
          <m:t>=</m:t>
        </m:r>
        <m:r>
          <m:t>0.10</m:t>
        </m:r>
        <m:r>
          <m:rPr>
            <m:sty m:val="p"/>
          </m:rPr>
          <m:t>,</m:t>
        </m:r>
        <m:r>
          <m:t>0.15</m:t>
        </m:r>
        <m:r>
          <m:rPr>
            <m:sty m:val="p"/>
          </m:rPr>
          <m:t>,</m:t>
        </m:r>
        <m:r>
          <m:t>0.20</m:t>
        </m:r>
      </m:oMath>
      <w:r>
        <w:t xml:space="preserve">, with intervals excluding zero at every level</w:t>
      </w:r>
      <w:r>
        <w:t xml:space="preserve"> </w:t>
      </w:r>
      <w:r>
        <w:t xml:space="preserve">(e.g. </w:t>
      </w:r>
      <m:oMath>
        <m:r>
          <m:rPr>
            <m:sty m:val="p"/>
          </m:rPr>
          <m:t>[</m:t>
        </m:r>
        <m:r>
          <m:rPr>
            <m:sty m:val="p"/>
          </m:rPr>
          <m:t>−</m:t>
        </m:r>
        <m:r>
          <m:t>1.84</m:t>
        </m:r>
        <m:r>
          <m:rPr>
            <m:sty m:val="p"/>
          </m:rPr>
          <m:t>,</m:t>
        </m:r>
        <m:r>
          <m:rPr>
            <m:sty m:val="p"/>
          </m:rPr>
          <m:t>−</m:t>
        </m:r>
        <m:r>
          <m:t>0.63</m:t>
        </m:r>
        <m:r>
          <m:rPr>
            <m:sty m:val="p"/>
          </m:rPr>
          <m:t>]</m:t>
        </m:r>
      </m:oMath>
      <w:r>
        <w:t xml:space="preserve"> </w:t>
      </w:r>
      <w:r>
        <w:t xml:space="preserve">pp at 0.10), whereas neither the imbalance effect</w:t>
      </w:r>
      <w:r>
        <w:t xml:space="preserve"> </w:t>
      </w:r>
      <w:r>
        <w:t xml:space="preserve">(−0.44, −0.26, −0.27 pp) nor the interaction was significant at any level.</w:t>
      </w:r>
      <w:r>
        <w:t xml:space="preserve"> </w:t>
      </w:r>
      <w:r>
        <w:t xml:space="preserve">Block-size imbalance, a plausible alternative explanation, does not account for</w:t>
      </w:r>
      <w:r>
        <w:t xml:space="preserve"> </w:t>
      </w:r>
      <w:r>
        <w:t xml:space="preserve">the deficit. Fig. 6 sets the two controls side by side: in panel (a) only the</w:t>
      </w:r>
      <w:r>
        <w:t xml:space="preserve"> </w:t>
      </w:r>
      <w:r>
        <w:t xml:space="preserve">clustering effect excludes zero, and in panel (b) the B12−B1 gap keeps nearly</w:t>
      </w:r>
      <w:r>
        <w:t xml:space="preserve"> </w:t>
      </w:r>
      <w:r>
        <w:t xml:space="preserve">its full size once dependence is permuted away.</w:t>
      </w:r>
    </w:p>
    <w:p>
      <w:pPr>
        <w:pStyle w:val="CaptionedFigure"/>
        <w:jc w:val="both"/>
      </w:pPr>
      <w:r>
        <w:drawing>
          <wp:inline>
            <wp:extent cx="5334000" cy="1559365"/>
            <wp:effectExtent b="0" l="0" r="0" t="0"/>
            <wp:docPr descr="Fig. 6. Attribution of the MIT-BIH deficit, primary backbone. (a) Effects of clustering, block-size imbalance and their interaction on B1 coverage in the 2×2 factorial design (95% bootstrap CI; open markers include zero). (b) B12−B1 coverage gap on the original data and after permuting beats between records (bars: mean; whiskers: 2.5–97.5% range across splits). Percentages give the mechanical share, the permuted gap as a fraction of the original." title="" id="42" name="Picture"/>
            <a:graphic>
              <a:graphicData uri="http://schemas.openxmlformats.org/drawingml/2006/picture">
                <pic:pic>
                  <pic:nvPicPr>
                    <pic:cNvPr descr="figures/fig6_attribution.png" id="43" name="Picture"/>
                    <pic:cNvPicPr>
                      <a:picLocks noChangeArrowheads="1" noChangeAspect="1"/>
                    </pic:cNvPicPr>
                  </pic:nvPicPr>
                  <pic:blipFill>
                    <a:blip r:embed="rId41"/>
                    <a:stretch>
                      <a:fillRect/>
                    </a:stretch>
                  </pic:blipFill>
                  <pic:spPr bwMode="auto">
                    <a:xfrm>
                      <a:off x="0" y="0"/>
                      <a:ext cx="5334000" cy="1559365"/>
                    </a:xfrm>
                    <a:prstGeom prst="rect">
                      <a:avLst/>
                    </a:prstGeom>
                    <a:noFill/>
                    <a:ln w="9525">
                      <a:noFill/>
                      <a:headEnd/>
                      <a:tailEnd/>
                    </a:ln>
                  </pic:spPr>
                </pic:pic>
              </a:graphicData>
            </a:graphic>
          </wp:inline>
        </w:drawing>
      </w:r>
    </w:p>
    <w:p>
      <w:pPr>
        <w:pStyle w:val="ImageCaption"/>
        <w:jc w:val="both"/>
      </w:pPr>
      <w:r>
        <w:t xml:space="preserve">Fig. 6. Attribution of the MIT-BIH deficit, primary backbone. (a) Effects of clustering, block-size imbalance and their interaction on B1 coverage in the 2×2 factorial design (95% bootstrap CI; open markers include zero). (b) B12−B1 coverage gap on the original data and after permuting beats between records (bars: mean; whiskers: 2.5–97.5% range across splits). Percentages give the mechanical share, the permuted gap as a fraction of the original.</w:t>
      </w:r>
    </w:p>
    <w:bookmarkEnd w:id="44"/>
    <w:bookmarkStart w:id="48" w:name="the-deficit-tracks-the-design-effect"/>
    <w:p>
      <w:pPr>
        <w:pStyle w:val="Heading2"/>
      </w:pPr>
      <w:r>
        <w:t xml:space="preserve">5.4 The deficit tracks the design effect</w:t>
      </w:r>
    </w:p>
    <w:p>
      <w:pPr>
        <w:pStyle w:val="FirstParagraph"/>
        <w:jc w:val="both"/>
      </w:pPr>
      <w:r>
        <w:t xml:space="preserve">To vary dependence within one dataset, we reassigned a fraction</w:t>
      </w:r>
      <w:r>
        <w:t xml:space="preserve"> </w:t>
      </w:r>
      <m:oMath>
        <m:r>
          <m:t>p</m:t>
        </m:r>
      </m:oMath>
      <w:r>
        <w:t xml:space="preserve"> </w:t>
      </w:r>
      <w:r>
        <w:t xml:space="preserve">of MIT-BIH</w:t>
      </w:r>
      <w:r>
        <w:t xml:space="preserve"> </w:t>
      </w:r>
      <w:r>
        <w:t xml:space="preserve">beats to random records while holding blocks at a uniform 1,355 beats, so that</w:t>
      </w:r>
      <w:r>
        <w:t xml:space="preserve"> </w:t>
      </w:r>
      <w:r>
        <w:t xml:space="preserve">imbalance plays no part (11 values of</w:t>
      </w:r>
      <w:r>
        <w:t xml:space="preserve"> </w:t>
      </w:r>
      <m:oMath>
        <m:r>
          <m:t>p</m:t>
        </m:r>
      </m:oMath>
      <w:r>
        <w:t xml:space="preserve">, 300 splits each). The score ICC falls</w:t>
      </w:r>
      <w:r>
        <w:t xml:space="preserve"> </w:t>
      </w:r>
      <w:r>
        <w:t xml:space="preserve">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With uniform blocks and subsampled</w:t>
      </w:r>
      <w:r>
        <w:t xml:space="preserve"> </w:t>
      </w:r>
      <w:r>
        <w:t xml:space="preserve">calibration, deficits are smaller than in §5.3 (0.65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interval contains zero, so the evidence lies</w:t>
      </w:r>
      <w:r>
        <w:t xml:space="preserve"> </w:t>
      </w:r>
      <w:r>
        <w:t xml:space="preserve">in the trend tested by the pre-registered Spearman criterion. Table VII reports</w:t>
      </w:r>
      <w:r>
        <w:t xml:space="preserve"> </w:t>
      </w:r>
      <w:r>
        <w:t xml:space="preserve">that criterion on three dependence axes; within MIT-BIH the deficit rises with</w:t>
      </w:r>
      <w:r>
        <w:t xml:space="preserve"> </w:t>
      </w:r>
      <w:r>
        <w:t xml:space="preserve">ICC at all three levels.</w:t>
      </w:r>
    </w:p>
    <w:p>
      <w:pPr>
        <w:pStyle w:val="BodyText"/>
        <w:keepNext/>
        <w:spacing w:before="160"/>
        <w:jc w:val="center"/>
      </w:pPr>
      <w:r/>
      <w:r>
        <w:rPr>
          <w:sz w:val="18"/>
        </w:rPr>
        <w:t>TABLE VII</w:t>
      </w:r>
      <w:r>
        <w:br/>
      </w:r>
      <w:r>
        <w:rPr>
          <w:sz w:val="16"/>
        </w:rPr>
        <w:t>SPEARMAN CORRELATION BETWEEN DEPENDENCE AND COVERAGE DEFICIT.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ICC alone does not place PTB-XL on the same axis: its patient-level ICC of 0.352</w:t>
      </w:r>
      <w:r>
        <w:t xml:space="preserve"> </w:t>
      </w:r>
      <w:r>
        <w:t xml:space="preserve">matches a MIT-BIH point with a deficit of 0.35 pp, yet PTB-XL shows none. The</w:t>
      </w:r>
      <w:r>
        <w:t xml:space="preserve"> </w:t>
      </w:r>
      <w:r>
        <w:t xml:space="preserve">design effect does. With</w:t>
      </w:r>
      <w:r>
        <w:t xml:space="preserve"> </w:t>
      </w:r>
      <m:oMath>
        <m:r>
          <m:t>H</m:t>
        </m:r>
        <m:r>
          <m:rPr>
            <m:sty m:val="p"/>
          </m:rPr>
          <m:t>=</m:t>
        </m:r>
        <m:r>
          <m:t>1.05</m:t>
        </m:r>
      </m:oMath>
      <w:r>
        <w:t xml:space="preserve">, PTB-XL has a DEff of 1.02, against 704 for</w:t>
      </w:r>
      <w:r>
        <w:t xml:space="preserve"> </w:t>
      </w:r>
      <w:r>
        <w:t xml:space="preserve">intact MIT-BIH, and on this axis the combined correlation stays positive and</w:t>
      </w:r>
      <w:r>
        <w:t xml:space="preserve"> </w:t>
      </w:r>
      <w:r>
        <w:t xml:space="preserve">significant; recomputing it with the ICC of the coverage indicator at a fixed</w:t>
      </w:r>
      <w:r>
        <w:t xml:space="preserve"> </w:t>
      </w:r>
      <w:r>
        <w:t xml:space="preserve">threshold, the quantity in the variance of §3.2, leaves the conclusion</w:t>
      </w:r>
      <w:r>
        <w:t xml:space="preserve"> </w:t>
      </w:r>
      <w:r>
        <w:t xml:space="preserve">unchanged. We use DEff as a summary axis, not a sufficient statistic; see [40]</w:t>
      </w:r>
      <w:r>
        <w:t xml:space="preserve"> </w:t>
      </w:r>
      <w:r>
        <w:t xml:space="preserve">for an exceedance-specific design effect. Fig. 7 plots the deficit against DEff:</w:t>
      </w:r>
      <w:r>
        <w:t xml:space="preserve"> </w:t>
      </w:r>
      <w:r>
        <w:t xml:space="preserve">the MIT-BIH gradient drives the combined correlation, and PTB-XL is a prediction</w:t>
      </w:r>
      <w:r>
        <w:t xml:space="preserve"> </w:t>
      </w:r>
      <w:r>
        <w:t xml:space="preserve">check at the low-dependence end rather than an independent trend (§6.4), with</w:t>
      </w:r>
      <w:r>
        <w:t xml:space="preserve"> </w:t>
      </w:r>
      <w:r>
        <w:t xml:space="preserve">deficits of −0.05, −0.12 and −0.16 pp, i.e. slight over-coverage, every interval</w:t>
      </w:r>
      <w:r>
        <w:t xml:space="preserve"> </w:t>
      </w:r>
      <w:r>
        <w:t xml:space="preserve">containing zero.</w:t>
      </w:r>
    </w:p>
    <w:p>
      <w:pPr>
        <w:pStyle w:val="CaptionedFigure"/>
        <w:jc w:val="both"/>
      </w:pPr>
      <w:r>
        <w:drawing>
          <wp:inline>
            <wp:extent cx="3108960" cy="2277948"/>
            <wp:effectExtent b="0" l="0" r="0" t="0"/>
            <wp:docPr descr="Fig. 7.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 \alpha=0.10, 0.15, 0.20." title="" id="46" name="Picture"/>
            <a:graphic>
              <a:graphicData uri="http://schemas.openxmlformats.org/drawingml/2006/picture">
                <pic:pic>
                  <pic:nvPicPr>
                    <pic:cNvPr descr="figures/fig7_dose_response.png" id="47" name="Picture"/>
                    <pic:cNvPicPr>
                      <a:picLocks noChangeArrowheads="1" noChangeAspect="1"/>
                    </pic:cNvPicPr>
                  </pic:nvPicPr>
                  <pic:blipFill>
                    <a:blip r:embed="rId45"/>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7.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48"/>
    <w:bookmarkStart w:id="52"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Two residual networks with roughly 70 and 155 times the parameters</w:t>
      </w:r>
      <w:r>
        <w:t xml:space="preserve"> </w:t>
      </w:r>
      <w:r>
        <w:t xml:space="preserve">improved discrimination unevenly: balanced accuracy on MIT-BIH stayed at</w:t>
      </w:r>
      <w:r>
        <w:t xml:space="preserve"> </w:t>
      </w:r>
      <w:r>
        <w:t xml:space="preserve">0.370–0.376, and PTB-XL macro-AUROC fell slightly.</w:t>
      </w:r>
      <w:r>
        <w:t xml:space="preserve"> </w:t>
      </w:r>
      <m:oMath>
        <m:sSub>
          <m:e>
            <m:r>
              <m:t>K</m:t>
            </m:r>
          </m:e>
          <m:sub>
            <m:r>
              <m:t>1</m:t>
            </m:r>
          </m:sub>
        </m:sSub>
        <m:r>
          <m:rPr>
            <m:sty m:val="p"/>
          </m:rPr>
          <m:t>(</m:t>
        </m:r>
        <m:r>
          <m:t>ℓ</m:t>
        </m:r>
        <m:r>
          <m:rPr>
            <m:sty m:val="p"/>
          </m:rPr>
          <m:t>)</m:t>
        </m:r>
      </m:oMath>
      <w:r>
        <w:t xml:space="preserve"> </w:t>
      </w:r>
      <w:r>
        <w:t xml:space="preserve">was identical</w:t>
      </w:r>
      <w:r>
        <w:t xml:space="preserve"> </w:t>
      </w:r>
      <w:r>
        <w:t xml:space="preserve">across backbones on both datasets, as the negative control requires. Table VIII</w:t>
      </w:r>
      <w:r>
        <w:t xml:space="preserve"> </w:t>
      </w:r>
      <w:r>
        <w:t xml:space="preserve">compares the discrimination of the three backbones.</w:t>
      </w:r>
    </w:p>
    <w:p>
      <w:pPr>
        <w:pStyle w:val="BodyText"/>
        <w:keepNext/>
        <w:spacing w:before="160"/>
        <w:jc w:val="center"/>
      </w:pPr>
      <w:r/>
      <w:r>
        <w:rPr>
          <w:sz w:val="18"/>
        </w:rPr>
        <w:t>TABLE VIII</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(mean</w:t>
      </w:r>
      <w:r>
        <w:t xml:space="preserve"> </w:t>
      </w:r>
      <w:r>
        <w:t xml:space="preserve">coverage 0.05–0.19 pp above nominal). On MIT-BIH the permutation test was</w:t>
      </w:r>
      <w:r>
        <w:t xml:space="preserve"> </w:t>
      </w:r>
      <w:r>
        <w:t xml:space="preserve">repeated per backbone under a criterion fixed beforehand, significance at every</w:t>
      </w:r>
      <w:r>
        <w:t xml:space="preserve"> </w:t>
      </w:r>
      <w:r>
        <w:t xml:space="preserve">feasible</w:t>
      </w:r>
      <w:r>
        <w:t xml:space="preserve"> </w:t>
      </w:r>
      <m:oMath>
        <m:r>
          <m:t>α</m:t>
        </m:r>
      </m:oMath>
      <w:r>
        <w:t xml:space="preserve"> </w:t>
      </w:r>
      <w:r>
        <w:t xml:space="preserve">(Table VI). The deficit is positive in all 9 cells and</w:t>
      </w:r>
      <w:r>
        <w:t xml:space="preserve"> </w:t>
      </w:r>
      <w:r>
        <w:t xml:space="preserve">significant in 7 by 95% interval; after Holm correction it is significant at</w:t>
      </w:r>
      <w:r>
        <w:t xml:space="preserve"> </w:t>
      </w:r>
      <w:r>
        <w:t xml:space="preserve">every level for SmallECGNet and ResNet1D-50 (adjusted</w:t>
      </w:r>
      <w:r>
        <w:t xml:space="preserve"> </w:t>
      </w:r>
      <m:oMath>
        <m:r>
          <m:t>p</m:t>
        </m:r>
        <m:r>
          <m:rPr>
            <m:sty m:val="p"/>
          </m:rPr>
          <m:t>≤</m:t>
        </m:r>
        <m:r>
          <m:t>0.0075</m:t>
        </m:r>
      </m:oMath>
      <w:r>
        <w:t xml:space="preserve"> </w:t>
      </w:r>
      <w:r>
        <w:t xml:space="preserve">and</w:t>
      </w:r>
      <w:r>
        <w:t xml:space="preserve"> </w:t>
      </w:r>
      <m:oMath>
        <m:r>
          <m:t>p</m:t>
        </m:r>
        <m:r>
          <m:rPr>
            <m:sty m:val="p"/>
          </m:rPr>
          <m:t>=</m:t>
        </m:r>
        <m:r>
          <m:t>0.0007</m:t>
        </m:r>
      </m:oMath>
      <w:r>
        <w:t xml:space="preserve">) and at none for ResNet1D-34 (adjusted</w:t>
      </w:r>
      <w:r>
        <w:t xml:space="preserve"> </w:t>
      </w:r>
      <m:oMath>
        <m:r>
          <m:t>p</m:t>
        </m:r>
        <m:r>
          <m:rPr>
            <m:sty m:val="p"/>
          </m:rPr>
          <m:t>=</m:t>
        </m:r>
        <m:r>
          <m:t>0.050</m:t>
        </m:r>
      </m:oMath>
      <w:r>
        <w:t xml:space="preserve">,</w:t>
      </w:r>
      <w:r>
        <w:t xml:space="preserve"> </w:t>
      </w:r>
      <m:oMath>
        <m:r>
          <m:t>0.095</m:t>
        </m:r>
      </m:oMath>
      <w:r>
        <w:t xml:space="preserve">,</w:t>
      </w:r>
      <w:r>
        <w:t xml:space="preserve"> </w:t>
      </w:r>
      <m:oMath>
        <m:r>
          <m:t>0.127</m:t>
        </m:r>
      </m:oMath>
      <w:r>
        <w:t xml:space="preserve">),</w:t>
      </w:r>
      <w:r>
        <w:t xml:space="preserve"> </w:t>
      </w:r>
      <w:r>
        <w:t xml:space="preserve">so the criterion fails for ResNet1D-34. The mechanical share of the B12−B1 gap</w:t>
      </w:r>
      <w:r>
        <w:t xml:space="preserve"> </w:t>
      </w:r>
      <w:r>
        <w:t xml:space="preserve">was 75–110% across the three backbones. Fig. 8 shows the per-backbone deficits</w:t>
      </w:r>
      <w:r>
        <w:t xml:space="preserve"> </w:t>
      </w:r>
      <w:r>
        <w:t xml:space="preserve">with their intervals: the direction of the contrast between datasets is</w:t>
      </w:r>
      <w:r>
        <w:t xml:space="preserve"> </w:t>
      </w:r>
      <w:r>
        <w:t xml:space="preserve">invariant to the backbone, but its statistical strength is not.</w:t>
      </w:r>
    </w:p>
    <w:p>
      <w:pPr>
        <w:pStyle w:val="CaptionedFigure"/>
        <w:jc w:val="both"/>
      </w:pPr>
      <w:r>
        <w:drawing>
          <wp:inline>
            <wp:extent cx="3108960" cy="1962112"/>
            <wp:effectExtent b="0" l="0" r="0" t="0"/>
            <wp:docPr descr="Fig. 8. MIT-BIH B1 coverage deficit against the matched permutation null, by backbone and \alpha (point estimate and 95% bootstrap CI). Open markers denote intervals that include zero." title="" id="50" name="Picture"/>
            <a:graphic>
              <a:graphicData uri="http://schemas.openxmlformats.org/drawingml/2006/picture">
                <pic:pic>
                  <pic:nvPicPr>
                    <pic:cNvPr descr="figures/fig8_backbone_permutation.png" id="51" name="Picture"/>
                    <pic:cNvPicPr>
                      <a:picLocks noChangeArrowheads="1" noChangeAspect="1"/>
                    </pic:cNvPicPr>
                  </pic:nvPicPr>
                  <pic:blipFill>
                    <a:blip r:embed="rId49"/>
                    <a:stretch>
                      <a:fillRect/>
                    </a:stretch>
                  </pic:blipFill>
                  <pic:spPr bwMode="auto">
                    <a:xfrm>
                      <a:off x="0" y="0"/>
                      <a:ext cx="3108960" cy="1962112"/>
                    </a:xfrm>
                    <a:prstGeom prst="rect">
                      <a:avLst/>
                    </a:prstGeom>
                    <a:noFill/>
                    <a:ln w="9525">
                      <a:noFill/>
                      <a:headEnd/>
                      <a:tailEnd/>
                    </a:ln>
                  </pic:spPr>
                </pic:pic>
              </a:graphicData>
            </a:graphic>
          </wp:inline>
        </w:drawing>
      </w:r>
    </w:p>
    <w:p>
      <w:pPr>
        <w:pStyle w:val="ImageCaption"/>
        <w:jc w:val="both"/>
      </w:pPr>
      <w:r>
        <w:t xml:space="preserve">Fig. 8. MIT-BIH B1 coverage deficit against the matched permutation null, by backbone and</w:t>
      </w:r>
      <w:r>
        <w:t xml:space="preserve"> </w:t>
      </w:r>
      <m:oMath>
        <m:r>
          <m:t>α</m:t>
        </m:r>
      </m:oMath>
      <w:r>
        <w:t xml:space="preserve"> </w:t>
      </w:r>
      <w:r>
        <w:t xml:space="preserve">(point estimate and 95% bootstrap CI). Open markers denote intervals that include zero.</w:t>
      </w:r>
    </w:p>
    <w:p>
      <w:pPr>
        <w:pStyle w:val="BodyText"/>
        <w:jc w:val="both"/>
      </w:pPr>
      <w:r>
        <w:rPr>
          <w:b/>
          <w:bCs/>
        </w:rPr>
        <w:t xml:space="preserve">Checkpoint.</w:t>
      </w:r>
      <w:r>
        <w:t xml:space="preserve"> </w:t>
      </w:r>
      <w:r>
        <w:t xml:space="preserve">The MIT-BIH validation set holds 4 records, and early stopping</w:t>
      </w:r>
      <w:r>
        <w:t xml:space="preserve"> </w:t>
      </w:r>
      <w:r>
        <w:t xml:space="preserve">selected epoch 1 for ResNet1D-50. A pre-registered sensitivity analysis repeated</w:t>
      </w:r>
      <w:r>
        <w:t xml:space="preserve"> </w:t>
      </w:r>
      <w:r>
        <w:t xml:space="preserve">the audit with last-epoch weights for both residual networks on both datasets</w:t>
      </w:r>
      <w:r>
        <w:t xml:space="preserve"> </w:t>
      </w:r>
      <w:r>
        <w:t xml:space="preserve">(MIT-BIH epochs 13 vs. 8 and 6 vs. 1; PTB-XL 14 vs. 9 and 12 vs. 7). The sign of</w:t>
      </w:r>
      <w:r>
        <w:t xml:space="preserve"> </w:t>
      </w:r>
      <w:r>
        <w:t xml:space="preserve">the B1 deficit agreed in all 16 backbone×dataset×</w:t>
      </w:r>
      <m:oMath>
        <m:r>
          <m:t>α</m:t>
        </m:r>
      </m:oMath>
      <w:r>
        <w:t xml:space="preserve"> </w:t>
      </w:r>
      <w:r>
        <w:t xml:space="preserve">cells and</w:t>
      </w:r>
      <w:r>
        <w:t xml:space="preserve"> </w:t>
      </w:r>
      <m:oMath>
        <m:sSub>
          <m:e>
            <m:r>
              <m:t>K</m:t>
            </m:r>
          </m:e>
          <m:sub>
            <m:r>
              <m:t>1</m:t>
            </m:r>
          </m:sub>
        </m:sSub>
        <m:r>
          <m:rPr>
            <m:sty m:val="p"/>
          </m:rPr>
          <m:t>(</m:t>
        </m:r>
        <m:r>
          <m:t>ℓ</m:t>
        </m:r>
        <m:r>
          <m:rPr>
            <m:sty m:val="p"/>
          </m:rPr>
          <m:t>)</m:t>
        </m:r>
      </m:oMath>
      <w:r>
        <w:t xml:space="preserve"> </w:t>
      </w:r>
      <w:r>
        <w:t xml:space="preserve">was identical, but the magnitude moved by up to 1.8 pp on MIT-BIH, enough to</w:t>
      </w:r>
      <w:r>
        <w:t xml:space="preserve"> </w:t>
      </w:r>
      <w:r>
        <w:t xml:space="preserve">reorder the backbones. We therefore do not interpret differences in deficit</w:t>
      </w:r>
      <w:r>
        <w:t xml:space="preserve"> </w:t>
      </w:r>
      <w:r>
        <w:t xml:space="preserve">magnitude between backbones.</w:t>
      </w:r>
    </w:p>
    <w:bookmarkEnd w:id="52"/>
    <w:bookmarkEnd w:id="53"/>
    <w:bookmarkStart w:id="58" w:name="discussion"/>
    <w:p>
      <w:pPr>
        <w:pStyle w:val="Heading1"/>
      </w:pPr>
      <w:r>
        <w:t xml:space="preserve">6. Discussion</w:t>
      </w:r>
    </w:p>
    <w:bookmarkStart w:id="54" w:name="main-findings"/>
    <w:p>
      <w:pPr>
        <w:pStyle w:val="Heading2"/>
      </w:pPr>
      <w:r>
        <w:t xml:space="preserve">6.1 Main findings</w:t>
      </w:r>
    </w:p>
    <w:p>
      <w:pPr>
        <w:pStyle w:val="FirstParagraph"/>
        <w:jc w:val="both"/>
      </w:pPr>
      <w:r>
        <w:t xml:space="preserve">The audit separates two questions that are usually asked together: whether a</w:t>
      </w:r>
      <w:r>
        <w:t xml:space="preserve"> </w:t>
      </w:r>
      <w:r>
        <w:t xml:space="preserve">block-level coverage guarantee</w:t>
      </w:r>
      <w:r>
        <w:t xml:space="preserve"> </w:t>
      </w:r>
      <w:r>
        <w:rPr>
          <w:i/>
          <w:iCs/>
        </w:rPr>
        <w:t xml:space="preserve">can</w:t>
      </w:r>
      <w:r>
        <w:t xml:space="preserve"> </w:t>
      </w:r>
      <w:r>
        <w:t xml:space="preserve">be enforced on a clinical dataset, and</w:t>
      </w:r>
      <w:r>
        <w:t xml:space="preserve"> </w:t>
      </w:r>
      <w:r>
        <w:t xml:space="preserve">whether ignoring the block structure</w:t>
      </w:r>
      <w:r>
        <w:t xml:space="preserve"> </w:t>
      </w:r>
      <w:r>
        <w:rPr>
          <w:i/>
          <w:iCs/>
        </w:rPr>
        <w:t xml:space="preserve">costs</w:t>
      </w:r>
      <w:r>
        <w:t xml:space="preserve"> </w:t>
      </w:r>
      <w:r>
        <w:t xml:space="preserve">coverage when it is not. The first</w:t>
      </w:r>
      <w:r>
        <w:t xml:space="preserve"> </w:t>
      </w:r>
      <w:r>
        <w:t xml:space="preserve">is combinatorial and settled from metadata. On public ECG resources its answer is</w:t>
      </w:r>
      <w:r>
        <w:t xml:space="preserve"> </w:t>
      </w:r>
      <w:r>
        <w:t xml:space="preserve">more restrictive than their size suggests, because declared sources collapse</w:t>
      </w:r>
      <w:r>
        <w:t xml:space="preserve"> </w:t>
      </w:r>
      <w:r>
        <w:t xml:space="preserve">under the join and rare labels are carried by few patients (§5.1). Proposition 1</w:t>
      </w:r>
      <w:r>
        <w:t xml:space="preserve"> </w:t>
      </w:r>
      <w:r>
        <w:t xml:space="preserve">also gives a direct example: an even split of the 22 evaluation subjects of the</w:t>
      </w:r>
      <w:r>
        <w:t xml:space="preserve"> </w:t>
      </w:r>
      <w:r>
        <w:t xml:space="preserve">canonical MIT-BIH partition between calibration and test leaves</w:t>
      </w:r>
      <w:r>
        <w:t xml:space="preserve"> </w:t>
      </w:r>
      <m:oMath>
        <m:sSub>
          <m:e>
            <m:r>
              <m:t>K</m:t>
            </m:r>
          </m:e>
          <m:sub>
            <m:r>
              <m:t>1</m:t>
            </m:r>
          </m:sub>
        </m:sSub>
        <m:r>
          <m:rPr>
            <m:sty m:val="p"/>
          </m:rPr>
          <m:t>=</m:t>
        </m:r>
        <m:r>
          <m:t>11</m:t>
        </m:r>
      </m:oMath>
      <w:r>
        <w:t xml:space="preserve">, so no</w:t>
      </w:r>
      <w:r>
        <w:t xml:space="preserve"> </w:t>
      </w:r>
      <w:r>
        <w:t xml:space="preserve">subject-level guarantee at the 95% level is attainable under that design,</w:t>
      </w:r>
      <w:r>
        <w:t xml:space="preserve"> </w:t>
      </w:r>
      <w:r>
        <w:t xml:space="preserve">whatever the model or the number of beats per record.</w:t>
      </w:r>
    </w:p>
    <w:p>
      <w:pPr>
        <w:pStyle w:val="BodyText"/>
        <w:jc w:val="both"/>
      </w:pPr>
      <w:r>
        <w:t xml:space="preserve">The second question is statistical, and its answer depends on how much</w:t>
      </w:r>
      <w:r>
        <w:t xml:space="preserve"> </w:t>
      </w:r>
      <w:r>
        <w:t xml:space="preserve">repetition the blocks contain rather than on how strongly observations within</w:t>
      </w:r>
      <w:r>
        <w:t xml:space="preserve"> </w:t>
      </w:r>
      <w:r>
        <w:t xml:space="preserve">them are correlated (§5.3–§5.4). PTB-XL is the clearest case: its within-patient</w:t>
      </w:r>
      <w:r>
        <w:t xml:space="preserve"> </w:t>
      </w:r>
      <w:r>
        <w:t xml:space="preserve">correlation would suggest that block-level calibration is needed, but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whatever</w:t>
      </w:r>
      <w:r>
        <w:t xml:space="preserve"> </w:t>
      </w:r>
      <m:oMath>
        <m:r>
          <m:t>ρ</m:t>
        </m:r>
      </m:oMath>
      <w:r>
        <w:t xml:space="preserve"> </w:t>
      </w:r>
      <w:r>
        <w:t xml:space="preserve">is, and counting</w:t>
      </w:r>
      <w:r>
        <w:t xml:space="preserve"> </w:t>
      </w:r>
      <w:r>
        <w:t xml:space="preserve">repeats shows, correctly for marginal coverage at these levels, that it is not.</w:t>
      </w:r>
      <w:r>
        <w:t xml:space="preserve"> </w:t>
      </w:r>
      <w:r>
        <w:t xml:space="preserve">Both numbers should therefore be reported, and neither is a property of the</w:t>
      </w:r>
      <w:r>
        <w:t xml:space="preserve"> </w:t>
      </w:r>
      <w:r>
        <w:t xml:space="preserve">dataset alone, 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w:t>
      </w:r>
      <w:r>
        <w:t xml:space="preserve"> </w:t>
      </w:r>
      <w:r>
        <w:t xml:space="preserve">producing the scores (§4.1). The design effect serves only as an ordering axis, a</w:t>
      </w:r>
      <w:r>
        <w:t xml:space="preserve"> </w:t>
      </w:r>
      <w:r>
        <w:t xml:space="preserve">heuristic under a compound-symmetric model (§3.2); a principled effective sample</w:t>
      </w:r>
      <w:r>
        <w:t xml:space="preserve"> </w:t>
      </w:r>
      <w:r>
        <w:t xml:space="preserve">size for thresholds under clustering is derived in [40].</w:t>
      </w:r>
    </w:p>
    <w:bookmarkEnd w:id="54"/>
    <w:bookmarkStart w:id="55" w:name="X2082e78ae0f4c77c313456103384ade8026f359"/>
    <w:p>
      <w:pPr>
        <w:pStyle w:val="Heading2"/>
      </w:pPr>
      <w:r>
        <w:t xml:space="preserve">6.2 A pitfall in evaluating hierarchical conformal methods</w:t>
      </w:r>
    </w:p>
    <w:p>
      <w:pPr>
        <w:pStyle w:val="FirstParagraph"/>
        <w:jc w:val="both"/>
      </w:pPr>
      <w:r>
        <w:t xml:space="preserve">The most transferable lesson concerns evaluation rather than ECG. On the same</w:t>
      </w:r>
      <w:r>
        <w:t xml:space="preserve"> </w:t>
      </w:r>
      <w:r>
        <w:t xml:space="preserve">data, HCP appears to</w:t>
      </w:r>
      <w:r>
        <w:t xml:space="preserve"> </w:t>
      </w:r>
      <w:r>
        <w:t xml:space="preserve">“restore”</w:t>
      </w:r>
      <w:r>
        <w:t xml:space="preserve"> </w:t>
      </w:r>
      <w:r>
        <w:t xml:space="preserve">coverage that naive split conformal loses, yet</w:t>
      </w:r>
      <w:r>
        <w:t xml:space="preserve"> </w:t>
      </w:r>
      <w:r>
        <w:t xml:space="preserve">75–110% of that gap survives when within-block dependence is permuted away</w:t>
      </w:r>
      <w:r>
        <w:t xml:space="preserve"> </w:t>
      </w:r>
      <w:r>
        <w:t xml:space="preserve">(§5.3, §5.5). 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placed at</w:t>
      </w:r>
      <w:r>
        <w:t xml:space="preserve"> </w:t>
      </w:r>
      <m:oMath>
        <m:r>
          <m:rPr>
            <m:sty m:val="p"/>
          </m:rPr>
          <m:t>+</m:t>
        </m:r>
        <m:r>
          <m:rPr>
            <m:sty m:val="p"/>
          </m:rPr>
          <m:t>∞</m:t>
        </m:r>
      </m:oMath>
      <w:r>
        <w:t xml:space="preserve"> </w:t>
      </w:r>
      <w:r>
        <w:t xml:space="preserve">pushes HCP to a higher</w:t>
      </w:r>
      <w:r>
        <w:t xml:space="preserve"> </w:t>
      </w:r>
      <w:r>
        <w:t xml:space="preserve">empirical quantile whether or not the data are dependent, and with small</w:t>
      </w:r>
      <w:r>
        <w:t xml:space="preserve"> </w:t>
      </w:r>
      <m:oMath>
        <m:sSub>
          <m:e>
            <m:r>
              <m:t>K</m:t>
            </m:r>
          </m:e>
          <m:sub>
            <m:r>
              <m:t>1</m:t>
            </m:r>
          </m:sub>
        </m:sSub>
      </m:oMath>
      <w:r>
        <w:t xml:space="preserve"> </w:t>
      </w:r>
      <w:r>
        <w:t xml:space="preserve">—</w:t>
      </w:r>
      <w:r>
        <w:t xml:space="preserve"> </w:t>
      </w:r>
      <w:r>
        <w:t xml:space="preserve">precisely where block-level calibration matters — this mechanical inflation</w:t>
      </w:r>
      <w:r>
        <w:t xml:space="preserve"> </w:t>
      </w:r>
      <w:r>
        <w:t xml:space="preserve">dominates. Below</w:t>
      </w:r>
      <w:r>
        <w:t xml:space="preserve"> </w:t>
      </w:r>
      <m:oMath>
        <m:sSub>
          <m:e>
            <m:r>
              <m:t>α</m:t>
            </m:r>
          </m:e>
          <m:sub>
            <m:r>
              <m:rPr>
                <m:sty m:val="p"/>
              </m:rPr>
              <m:t>min</m:t>
            </m:r>
          </m:sub>
        </m:sSub>
      </m:oMath>
      <w:r>
        <w:t xml:space="preserve"> </w:t>
      </w:r>
      <w:r>
        <w:t xml:space="preserve">the comparison is degenerate, because HCP covers</w:t>
      </w:r>
      <w:r>
        <w:t xml:space="preserve"> </w:t>
      </w:r>
      <w:r>
        <w:t xml:space="preserve">by returning every label (Fig. 5). A claim that a hierarchical method improves</w:t>
      </w:r>
      <w:r>
        <w:t xml:space="preserve"> </w:t>
      </w:r>
      <w:r>
        <w:t xml:space="preserve">coverage should therefore be tested against a null that preserves block sizes</w:t>
      </w:r>
      <w:r>
        <w:t xml:space="preserve"> </w:t>
      </w:r>
      <w:r>
        <w:t xml:space="preserve">and score marginals while removing dependence, and coverage should be reported</w:t>
      </w:r>
      <w:r>
        <w:t xml:space="preserve"> </w:t>
      </w:r>
      <w:r>
        <w:t xml:space="preserve">with set size, since abstention is the cheapest way to cover.</w:t>
      </w:r>
    </w:p>
    <w:bookmarkEnd w:id="55"/>
    <w:bookmarkStart w:id="56" w:name="implications-and-relation-to-prior-work"/>
    <w:p>
      <w:pPr>
        <w:pStyle w:val="Heading2"/>
      </w:pPr>
      <w:r>
        <w:t xml:space="preserve">6.3 Implications and relation to prior work</w:t>
      </w:r>
    </w:p>
    <w:p>
      <w:pPr>
        <w:pStyle w:val="FirstParagraph"/>
        <w:jc w:val="both"/>
      </w:pPr>
      <w:r>
        <w:t xml:space="preserve">Studies that intend to attach distribution-free guarantees to ECG classifiers can</w:t>
      </w:r>
      <w:r>
        <w:t xml:space="preserve"> </w:t>
      </w:r>
      <w:r>
        <w:t xml:space="preserve">complete four checks before data are collected or split:</w:t>
      </w:r>
    </w:p>
    <w:p>
      <w:pPr>
        <w:pStyle w:val="Compact"/>
        <w:numPr>
          <w:ilvl w:val="0"/>
          <w:numId w:val="1002"/>
        </w:numPr>
      </w:pPr>
      <w:r>
        <w:t xml:space="preserve">Declare dependence sources — patient, device, site, operator, monitoring</w:t>
      </w:r>
      <w:r>
        <w:t xml:space="preserve"> </w:t>
      </w:r>
      <w:r>
        <w:t xml:space="preserve">episode — and check that each is documented. Where one is not, as for patient</w:t>
      </w:r>
      <w:r>
        <w:t xml:space="preserve"> </w:t>
      </w:r>
      <w:r>
        <w:t xml:space="preserve">identity in the PhysioNet/CinC Challenge 2021 collection (§4.1), the number of</w:t>
      </w:r>
      <w:r>
        <w:t xml:space="preserve"> </w:t>
      </w:r>
      <w:r>
        <w:t xml:space="preserve">blocks becomes an assumption rather than a count.</w:t>
      </w:r>
    </w:p>
    <w:p>
      <w:pPr>
        <w:pStyle w:val="Compact"/>
        <w:numPr>
          <w:ilvl w:val="0"/>
          <w:numId w:val="1002"/>
        </w:numPr>
      </w:pPr>
      <w:r>
        <w:t xml:space="preserve">Count blocks, not records, in the calibration set, for the grouping that</w:t>
      </w:r>
      <w:r>
        <w:t xml:space="preserve"> </w:t>
      </w:r>
      <w:r>
        <w:t xml:space="preserve">respects every declared source, and compare the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any label-conditional claim, using</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across</w:t>
      </w:r>
      <w:r>
        <w:t xml:space="preserve"> </w:t>
      </w:r>
      <m:oMath>
        <m:r>
          <m:t>m</m:t>
        </m:r>
      </m:oMath>
      <w:r>
        <w:t xml:space="preserve"> </w:t>
      </w:r>
      <w:r>
        <w:t xml:space="preserve">labels; rare</w:t>
      </w:r>
      <w:r>
        <w:t xml:space="preserve"> </w:t>
      </w:r>
      <w:r>
        <w:t xml:space="preserve">diagnoses typically fail first.</w:t>
      </w:r>
    </w:p>
    <w:p>
      <w:pPr>
        <w:pStyle w:val="Compact"/>
        <w:numPr>
          <w:ilvl w:val="0"/>
          <w:numId w:val="1002"/>
        </w:numPr>
      </w:pPr>
      <w:r>
        <w:t xml:space="preserve">Estimate the repetition, through the harmonic mean block size, before</w:t>
      </w:r>
      <w:r>
        <w:t xml:space="preserve"> </w:t>
      </w:r>
      <w:r>
        <w:t xml:space="preserve">deciding whether block-level calibration is needed for marginal coverage.</w:t>
      </w:r>
    </w:p>
    <w:p>
      <w:pPr>
        <w:pStyle w:val="FirstParagraph"/>
        <w:jc w:val="both"/>
      </w:pPr>
      <w:r>
        <w:t xml:space="preserve">The same counting applies whenever coverage is conditioned on groups of</w:t>
      </w:r>
      <w:r>
        <w:t xml:space="preserve"> </w:t>
      </w:r>
      <w:r>
        <w:t xml:space="preserve">patients: if group-conditional calibration, proposed to equalize coverage across</w:t>
      </w:r>
      <w:r>
        <w:t xml:space="preserve"> </w:t>
      </w:r>
      <w:r>
        <w:t xml:space="preserve">demographic groups [43], must also respect patient blocks, a group with few</w:t>
      </w:r>
      <w:r>
        <w:t xml:space="preserve"> </w:t>
      </w:r>
      <w:r>
        <w:t xml:space="preserve">patients in calibration is bounded exactly as rare labels are here. Settings with</w:t>
      </w:r>
      <w:r>
        <w:t xml:space="preserve"> </w:t>
      </w:r>
      <w:r>
        <w:t xml:space="preserve">thousands of blocks, such as patients nested in hospitals [36], sit far from the</w:t>
      </w:r>
      <w:r>
        <w:t xml:space="preserve"> </w:t>
      </w:r>
      <w:r>
        <w:t xml:space="preserve">boundary, which is why it is easy to overlook. The inter-patient protocol guards</w:t>
      </w:r>
      <w:r>
        <w:t xml:space="preserve"> </w:t>
      </w:r>
      <w:r>
        <w:t xml:space="preserve">against subject-level leakage between training and evaluation [30], [32], [31],</w:t>
      </w:r>
      <w:r>
        <w:t xml:space="preserve"> </w:t>
      </w:r>
      <w:r>
        <w:t xml:space="preserve">and training regimes that differ in this respect have been compared directly</w:t>
      </w:r>
      <w:r>
        <w:t xml:space="preserve"> </w:t>
      </w:r>
      <w:r>
        <w:t xml:space="preserve">[44]; the audit carries the same concern to the calibration–test boundary, where</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study-design trade-off that Lee et al. leave open [13], our results</w:t>
      </w:r>
      <w:r>
        <w:t xml:space="preserve"> </w:t>
      </w:r>
      <w:r>
        <w:t xml:space="preserve">settle the most elementary part: whether a finite threshold exists depends on the</w:t>
      </w:r>
      <w:r>
        <w:t xml:space="preserve"> </w:t>
      </w:r>
      <w:r>
        <w:t xml:space="preserve">number of groups alone (Proposition 1). The bound plays the role that the</w:t>
      </w:r>
      <w:r>
        <w:t xml:space="preserve"> </w:t>
      </w:r>
      <w:r>
        <w:t xml:space="preserve">universal coverage distribution of split conformal prediction plays for</w:t>
      </w:r>
      <w:r>
        <w:t xml:space="preserve"> </w:t>
      </w:r>
      <w:r>
        <w:t xml:space="preserve">exchangeable data, where it yields a minimum calibration size [45], with blocks</w:t>
      </w:r>
      <w:r>
        <w:t xml:space="preserve"> </w:t>
      </w:r>
      <w:r>
        <w:t xml:space="preserve">in place of points. Likewise, rare classes starve class-conditional calibration</w:t>
      </w:r>
      <w:r>
        <w:t xml:space="preserve"> </w:t>
      </w:r>
      <w:r>
        <w:t xml:space="preserve">under exchangeability [42], but under block dependence the relevant count is</w:t>
      </w:r>
      <w:r>
        <w:t xml:space="preserve"> </w:t>
      </w:r>
      <w:r>
        <w:t xml:space="preserve">the number of blocks carrying the class, and the condition is necessary but not</w:t>
      </w:r>
      <w:r>
        <w:t xml:space="preserve"> </w:t>
      </w:r>
      <w:r>
        <w:t xml:space="preserve">sufficient (§3.4).</w:t>
      </w:r>
    </w:p>
    <w:p>
      <w:pPr>
        <w:pStyle w:val="BodyText"/>
        <w:jc w:val="both"/>
      </w:pPr>
      <w:r>
        <w:t xml:space="preserve">Our findings agree with those of Sim and Kim on ECG false-alarm control [11]: in</w:t>
      </w:r>
      <w:r>
        <w:t xml:space="preserve"> </w:t>
      </w:r>
      <w:r>
        <w:t xml:space="preserve">both settings the guarantee is carried by subjects rather than beats, and too few</w:t>
      </w:r>
      <w:r>
        <w:t xml:space="preserve"> </w:t>
      </w:r>
      <w:r>
        <w:t xml:space="preserve">calibration subjects break it. The audit differs in what it counts and in how it</w:t>
      </w:r>
      <w:r>
        <w:t xml:space="preserve"> </w:t>
      </w:r>
      <w:r>
        <w:t xml:space="preserve">attributes the effect. It counts blocks under crossed dependence sources and per</w:t>
      </w:r>
      <w:r>
        <w:t xml:space="preserve"> </w:t>
      </w:r>
      <w:r>
        <w:t xml:space="preserve">diagnostic label, and it separates dependence from block-size imbalance and from</w:t>
      </w:r>
      <w:r>
        <w:t xml:space="preserve"> </w:t>
      </w:r>
      <w:r>
        <w:t xml:space="preserve">the mechanical effect of the finite-block correction, using a matched</w:t>
      </w:r>
      <w:r>
        <w:t xml:space="preserve"> </w:t>
      </w:r>
      <w:r>
        <w:t xml:space="preserve">permutation null and a factorial design. Evidence that marginal coverage can</w:t>
      </w:r>
      <w:r>
        <w:t xml:space="preserve"> </w:t>
      </w:r>
      <w:r>
        <w:t xml:space="preserve">hide per-class and per-patient failures in cardiac monitoring [10] is consistent</w:t>
      </w:r>
      <w:r>
        <w:t xml:space="preserve"> </w:t>
      </w:r>
      <w:r>
        <w:t xml:space="preserve">with the label-level boundary of §5.1. Risk-control extensions of conformal</w:t>
      </w:r>
      <w:r>
        <w:t xml:space="preserve"> </w:t>
      </w:r>
      <w:r>
        <w:t xml:space="preserve">prediction [34], [46] and its time-series variants [35] rest on related</w:t>
      </w:r>
      <w:r>
        <w:t xml:space="preserve"> </w:t>
      </w:r>
      <w:r>
        <w:t xml:space="preserve">exchangeability or stationarity assumptions; whether their block-level</w:t>
      </w:r>
      <w:r>
        <w:t xml:space="preserve"> </w:t>
      </w:r>
      <w:r>
        <w:t xml:space="preserve">counterparts face the same boundary is left open.</w:t>
      </w:r>
    </w:p>
    <w:bookmarkEnd w:id="56"/>
    <w:bookmarkStart w:id="57" w:name="limitations-and-threats-to-validity"/>
    <w:p>
      <w:pPr>
        <w:pStyle w:val="Heading2"/>
      </w:pPr>
      <w:r>
        <w:t xml:space="preserve">6.4 Limitations and threats to validity</w:t>
      </w:r>
    </w:p>
    <w:p>
      <w:pPr>
        <w:pStyle w:val="FirstParagraph"/>
        <w:jc w:val="both"/>
      </w:pPr>
      <w:r>
        <w:t xml:space="preserve">The audit concerns marginal and label-wise coverage within one method family.</w:t>
      </w:r>
      <w:r>
        <w:t xml:space="preserve"> </w:t>
      </w:r>
      <w:r>
        <w:t xml:space="preserve">We group the threats to its conclusions by type.</w:t>
      </w:r>
    </w:p>
    <w:p>
      <w:pPr>
        <w:pStyle w:val="BodyText"/>
        <w:jc w:val="both"/>
      </w:pPr>
      <w:r>
        <w:rPr>
          <w:b/>
          <w:bCs/>
        </w:rPr>
        <w:t xml:space="preserve">Internal validity.</w:t>
      </w:r>
      <w:r>
        <w:t xml:space="preserve"> </w:t>
      </w:r>
      <w:r>
        <w:t xml:space="preserve">Cardiologists validated only 64–68% of PTB-XL records in</w:t>
      </w:r>
      <w:r>
        <w:t xml:space="preserve"> </w:t>
      </w:r>
      <w:r>
        <w:t xml:space="preserve">folds 1–8, against 100% in folds 9 and 10. An early version of the study that</w:t>
      </w:r>
      <w:r>
        <w:t xml:space="preserve"> </w:t>
      </w:r>
      <w:r>
        <w:t xml:space="preserve">calibrated on fold 8 and evaluated on fold 9 found an apparent 1.43</w:t>
      </w:r>
      <w:r>
        <w:t xml:space="preserve"> </w:t>
      </w:r>
      <w:r>
        <w:t xml:space="preserve">percentage-point deficit at</w:t>
      </w:r>
      <w:r>
        <w:t xml:space="preserve"> </w:t>
      </w:r>
      <m:oMath>
        <m:r>
          <m:t>α</m:t>
        </m:r>
        <m:r>
          <m:rPr>
            <m:sty m:val="p"/>
          </m:rPr>
          <m:t>=</m:t>
        </m:r>
        <m:r>
          <m:t>0.05</m:t>
        </m:r>
      </m:oMath>
      <w:r>
        <w:t xml:space="preserve">, which turned out to reflect the shift</w:t>
      </w:r>
      <w:r>
        <w:t xml:space="preserve"> </w:t>
      </w:r>
      <w:r>
        <w:t xml:space="preserve">in label quality between folds rather than block dependence; confirmatory</w:t>
      </w:r>
      <w:r>
        <w:t xml:space="preserve"> </w:t>
      </w:r>
      <w:r>
        <w:t xml:space="preserve">analyses therefore use fold 9, and fold 10 has not been examined. Each</w:t>
      </w:r>
      <w:r>
        <w:t xml:space="preserve"> </w:t>
      </w:r>
      <w:r>
        <w:t xml:space="preserve">data-handling decision in §4.1 guards against a failure that raises no error</w:t>
      </w:r>
      <w:r>
        <w:t xml:space="preserve"> </w:t>
      </w:r>
      <w:r>
        <w:t xml:space="preserve">(unlabelled records, channel order in record 114, boundary beats, the subject</w:t>
      </w:r>
      <w:r>
        <w:t xml:space="preserve"> </w:t>
      </w:r>
      <w:r>
        <w:t xml:space="preserve">shared by records 201 and 202), and all preprocessing is fitted on training data</w:t>
      </w:r>
      <w:r>
        <w:t xml:space="preserve"> </w:t>
      </w:r>
      <w:r>
        <w:t xml:space="preserve">only.</w:t>
      </w:r>
    </w:p>
    <w:p>
      <w:pPr>
        <w:pStyle w:val="BodyText"/>
        <w:jc w:val="both"/>
      </w:pPr>
      <w:r>
        <w:rPr>
          <w:b/>
          <w:bCs/>
        </w:rPr>
        <w:t xml:space="preserve">Construct validity.</w:t>
      </w:r>
      <w:r>
        <w:t xml:space="preserve"> </w:t>
      </w:r>
      <w:r>
        <w:t xml:space="preserve">MIT-BIH class Q has 15 beats in total, 7 of them in two</w:t>
      </w:r>
      <w:r>
        <w:t xml:space="preserve"> </w:t>
      </w:r>
      <w:r>
        <w:t xml:space="preserve">evaluation records, so its per-class statistics cannot be interpreted; we report</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so that the boundary is visible</w:t>
      </w:r>
      <w:r>
        <w:t xml:space="preserve"> </w:t>
      </w:r>
      <w:r>
        <w:t xml:space="preserve">rather than averaged away. Our backbones fall below published PTB-XL benchmarks</w:t>
      </w:r>
      <w:r>
        <w:t xml:space="preserve"> </w:t>
      </w:r>
      <w:r>
        <w:t xml:space="preserve">[1] and are weak on MIT-BIH minority classes (balanced accuracy 0.37–0.38 for</w:t>
      </w:r>
      <w:r>
        <w:t xml:space="preserve"> </w:t>
      </w:r>
      <w:r>
        <w:t xml:space="preserve">all three), which widens prediction sets without reducing coverage (§4.3, §5.5).</w:t>
      </w:r>
      <w:r>
        <w:t xml:space="preserve"> </w:t>
      </w:r>
      <w:r>
        <w:t xml:space="preserve">With 4 validation records, early stopping chose epoch 1 for ResNet1D-50 on</w:t>
      </w:r>
      <w:r>
        <w:t xml:space="preserve"> </w:t>
      </w:r>
      <w:r>
        <w:t xml:space="preserve">MIT-BIH; the pre-registered last-epoch analysis preserved the sign of every</w:t>
      </w:r>
      <w:r>
        <w:t xml:space="preserve"> </w:t>
      </w:r>
      <w:r>
        <w:t xml:space="preserve">deficit and every</w:t>
      </w:r>
      <w:r>
        <w:t xml:space="preserve"> </w:t>
      </w:r>
      <m:oMath>
        <m:sSub>
          <m:e>
            <m:r>
              <m:t>K</m:t>
            </m:r>
          </m:e>
          <m:sub>
            <m:r>
              <m:t>1</m:t>
            </m:r>
          </m:sub>
        </m:sSub>
      </m:oMath>
      <w:r>
        <w:t xml:space="preserve"> </w:t>
      </w:r>
      <w:r>
        <w:t xml:space="preserve">but not the magnitude, which we therefore do not compare</w:t>
      </w:r>
      <w:r>
        <w:t xml:space="preserve"> </w:t>
      </w:r>
      <w:r>
        <w:t xml:space="preserve">across backbones.</w:t>
      </w:r>
    </w:p>
    <w:p>
      <w:pPr>
        <w:pStyle w:val="BodyText"/>
        <w:jc w:val="both"/>
      </w:pPr>
      <w:r>
        <w:rPr>
          <w:b/>
          <w:bCs/>
        </w:rPr>
        <w:t xml:space="preserve">External validity.</w:t>
      </w:r>
      <w:r>
        <w:t xml:space="preserve"> </w:t>
      </w:r>
      <w:r>
        <w:t xml:space="preserve">PTB-XL was recorded at one institution between 1989 and</w:t>
      </w:r>
      <w:r>
        <w:t xml:space="preserve"> </w:t>
      </w:r>
      <w:r>
        <w:t xml:space="preserve">1996; its device, nurse and site metadata make the block analysis possible, but</w:t>
      </w:r>
      <w:r>
        <w:t xml:space="preserve"> </w:t>
      </w:r>
      <w:r>
        <w:t xml:space="preserve">its estimates of</w:t>
      </w:r>
      <w:r>
        <w:t xml:space="preserve"> </w:t>
      </w:r>
      <m:oMath>
        <m:r>
          <m:t>ρ</m:t>
        </m:r>
      </m:oMath>
      <w:r>
        <w:t xml:space="preserve"> </w:t>
      </w:r>
      <w:r>
        <w:t xml:space="preserve">and</w:t>
      </w:r>
      <w:r>
        <w:t xml:space="preserve"> </w:t>
      </w:r>
      <m:oMath>
        <m:r>
          <m:t>H</m:t>
        </m:r>
      </m:oMath>
      <w:r>
        <w:t xml:space="preserve"> </w:t>
      </w:r>
      <w:r>
        <w:t xml:space="preserve">need not transfer to contemporary multi-center</w:t>
      </w:r>
      <w:r>
        <w:t xml:space="preserve"> </w:t>
      </w:r>
      <w:r>
        <w:t xml:space="preserve">cohorts. Eleven of the twelve dose–response points are synthetic MIT-BIH</w:t>
      </w:r>
      <w:r>
        <w:t xml:space="preserve"> </w:t>
      </w:r>
      <w:r>
        <w:t xml:space="preserve">configurations and only PTB-XL is observed, so the combined correlation is driven</w:t>
      </w:r>
      <w:r>
        <w:t xml:space="preserve"> </w:t>
      </w:r>
      <w:r>
        <w:t xml:space="preserve">by an intervention within one dataset rather than by naturally differing</w:t>
      </w:r>
      <w:r>
        <w:t xml:space="preserve"> </w:t>
      </w:r>
      <w:r>
        <w:t xml:space="preserve">cohorts; PTB-XL — different in modality, task and block type — is only a</w:t>
      </w:r>
      <w:r>
        <w:t xml:space="preserve"> </w:t>
      </w:r>
      <w:r>
        <w:t xml:space="preserve">prediction check (§5.4). All MIT-BIH intervals come from</w:t>
      </w:r>
      <w:r>
        <w:t xml:space="preserve"> </w:t>
      </w:r>
      <w:r>
        <w:t xml:space="preserve">repeated splits of the same 22 DS2 records, so they quantify variability across</w:t>
      </w:r>
      <w:r>
        <w:t xml:space="preserve"> </w:t>
      </w:r>
      <w:r>
        <w:t xml:space="preserve">splits, not across the patient population. All results concern ECG, and</w:t>
      </w:r>
      <w:r>
        <w:t xml:space="preserve"> </w:t>
      </w:r>
      <w:r>
        <w:t xml:space="preserve">temporal dependence within a patient across visits is not addressed; other</w:t>
      </w:r>
      <w:r>
        <w:t xml:space="preserve"> </w:t>
      </w:r>
      <w:r>
        <w:t xml:space="preserve">clinical signals with repeated measurements are plausible candidates for the</w:t>
      </w:r>
      <w:r>
        <w:t xml:space="preserve"> </w:t>
      </w:r>
      <w:r>
        <w:t xml:space="preserve">same analysis but were not examined.</w:t>
      </w:r>
    </w:p>
    <w:p>
      <w:pPr>
        <w:pStyle w:val="BodyText"/>
        <w:jc w:val="both"/>
      </w:pPr>
      <w:r>
        <w:rPr>
          <w:b/>
          <w:bCs/>
        </w:rPr>
        <w:t xml:space="preserve">Statistical conclusion validity.</w:t>
      </w:r>
      <w:r>
        <w:t xml:space="preserve"> </w:t>
      </w:r>
      <w:r>
        <w:t xml:space="preserve">No single split and no single dose–response</w:t>
      </w:r>
      <w:r>
        <w:t xml:space="preserve"> </w:t>
      </w:r>
      <w:r>
        <w:t xml:space="preserve">point establishes a deficit: split-to-split ranges contain</w:t>
      </w:r>
      <w:r>
        <w:t xml:space="preserve"> </w:t>
      </w:r>
      <m:oMath>
        <m:r>
          <m:t>1</m:t>
        </m:r>
        <m:r>
          <m:rPr>
            <m:sty m:val="p"/>
          </m:rPr>
          <m:t>−</m:t>
        </m:r>
        <m:r>
          <m:t>α</m:t>
        </m:r>
      </m:oMath>
      <w:r>
        <w:t xml:space="preserve"> </w:t>
      </w:r>
      <w:r>
        <w:t xml:space="preserve">in every</w:t>
      </w:r>
      <w:r>
        <w:t xml:space="preserve"> </w:t>
      </w:r>
      <w:r>
        <w:t xml:space="preserve">MIT-BIH cell (Table V), and every per-point interval in the dose–response</w:t>
      </w:r>
      <w:r>
        <w:t xml:space="preserve"> </w:t>
      </w:r>
      <w:r>
        <w:t xml:space="preserve">analysis contains zero. The evidence lies in the comparison with a permutation</w:t>
      </w:r>
      <w:r>
        <w:t xml:space="preserve"> </w:t>
      </w:r>
      <w:r>
        <w:t xml:space="preserve">null and in the monotone trend, which are what the pre-registered tests address.</w:t>
      </w:r>
      <w:r>
        <w:t xml:space="preserve"> </w:t>
      </w:r>
      <w:r>
        <w:t xml:space="preserve">After Holm correction the deficit against the permutation null is significant at</w:t>
      </w:r>
      <w:r>
        <w:t xml:space="preserve"> </w:t>
      </w:r>
      <w:r>
        <w:t xml:space="preserve">every level for two of three backbones and at none for ResNet1D-34 (Table VI);</w:t>
      </w:r>
      <w:r>
        <w:t xml:space="preserve"> </w:t>
      </w:r>
      <w:r>
        <w:t xml:space="preserve">the pre-registered criterion fails for that backbone, and we claim invariance of</w:t>
      </w:r>
      <w:r>
        <w:t xml:space="preserve"> </w:t>
      </w:r>
      <w:r>
        <w:t xml:space="preserve">direction only. Coverage alone overstates HCP, which covers by abstaining below</w:t>
      </w:r>
      <w:r>
        <w:t xml:space="preserve"> </w:t>
      </w:r>
      <m:oMath>
        <m:sSub>
          <m:e>
            <m:r>
              <m:t>α</m:t>
            </m:r>
          </m:e>
          <m:sub>
            <m:r>
              <m:rPr>
                <m:sty m:val="p"/>
              </m:rPr>
              <m:t>min</m:t>
            </m:r>
          </m:sub>
        </m:sSub>
      </m:oMath>
      <w:r>
        <w:t xml:space="preserve"> </w:t>
      </w:r>
      <w:r>
        <w:t xml:space="preserve">(§5.2), so set size is reported alongside it throughout. Two</w:t>
      </w:r>
      <w:r>
        <w:t xml:space="preserve"> </w:t>
      </w:r>
      <w:r>
        <w:t xml:space="preserve">pre-registered criteria did not survive.</w:t>
      </w:r>
      <w:r>
        <w:t xml:space="preserve"> </w:t>
      </w:r>
      <w:r>
        <w:t xml:space="preserve">“HCP covers better than split conformal”</w:t>
      </w:r>
      <w:r>
        <w:t xml:space="preserve"> </w:t>
      </w:r>
      <w:r>
        <w:t xml:space="preserve">was withdrawn</w:t>
      </w:r>
      <w:r>
        <w:t xml:space="preserve"> </w:t>
      </w:r>
      <w:r>
        <w:t xml:space="preserve">once the permutation control showed the gap to be largely mechanical (§5.3), and</w:t>
      </w:r>
      <w:r>
        <w:t xml:space="preserve"> </w:t>
      </w:r>
      <w:r>
        <w:t xml:space="preserve">a Spearman test across datasets could not be run as written, because with two</w:t>
      </w:r>
      <w:r>
        <w:t xml:space="preserve"> </w:t>
      </w:r>
      <w:r>
        <w:t xml:space="preserve">datasets the rank correlation can only be</w:t>
      </w:r>
      <w:r>
        <w:t xml:space="preserve"> </w:t>
      </w:r>
      <m:oMath>
        <m:r>
          <m:rPr>
            <m:sty m:val="p"/>
          </m:rPr>
          <m:t>±</m:t>
        </m:r>
        <m:r>
          <m:t>1</m:t>
        </m:r>
      </m:oMath>
      <w:r>
        <w:t xml:space="preserve">; it was replaced by a test over</w:t>
      </w:r>
      <w:r>
        <w:t xml:space="preserve"> </w:t>
      </w:r>
      <w:r>
        <w:t xml:space="preserve">design-effect points within MIT-BIH. Both changes are logged as deviations.</w:t>
      </w:r>
    </w:p>
    <w:p>
      <w:pPr>
        <w:pStyle w:val="BodyText"/>
        <w:jc w:val="both"/>
      </w:pPr>
      <w:r>
        <w:rPr>
          <w:b/>
          <w:bCs/>
        </w:rPr>
        <w:t xml:space="preserve">Theoretical scope.</w:t>
      </w:r>
      <w:r>
        <w:t xml:space="preserve"> </w:t>
      </w:r>
      <w:r>
        <w:t xml:space="preserve">The variance in §3.2 and the design effects (6) rest on</w:t>
      </w:r>
      <w:r>
        <w:t xml:space="preserve"> </w:t>
      </w:r>
      <w:r>
        <w:t xml:space="preserve">Assumption (A), a one-way random-effects model with compound symmetry, whereas</w:t>
      </w:r>
      <w:r>
        <w:t xml:space="preserve"> </w:t>
      </w:r>
      <w:r>
        <w:t xml:space="preserve">Proposition 1, Corollary 2 and Proposition 3 are distribution-free. That variance</w:t>
      </w:r>
      <w:r>
        <w:t xml:space="preserve"> </w:t>
      </w:r>
      <w:r>
        <w:t xml:space="preserve">concerns the correlation of the coverage indicator rather than of raw scores;</w:t>
      </w:r>
      <w:r>
        <w:t xml:space="preserve"> </w:t>
      </w:r>
      <w:r>
        <w:t xml:space="preserve">with the indicator correlation every Spearman coefficient remains significant</w:t>
      </w:r>
      <w:r>
        <w:t xml:space="preserve"> </w:t>
      </w:r>
      <w:r>
        <w:t xml:space="preserve">(Table VII), and PTB-XL’s correlation falls from 0.35 to 0.19–0.20 while its</w:t>
      </w:r>
      <w:r>
        <w:t xml:space="preserve"> </w:t>
      </w:r>
      <w:r>
        <w:t xml:space="preserve">design effect stays near 1. The design effect orders configurations; we do not</w:t>
      </w:r>
      <w:r>
        <w:t xml:space="preserve"> </w:t>
      </w:r>
      <w:r>
        <w:t xml:space="preserve">show that it is a sufficient statistic for coverage loss. Corollary 2 is proved</w:t>
      </w:r>
      <w:r>
        <w:t xml:space="preserve"> </w:t>
      </w:r>
      <w:r>
        <w:t xml:space="preserve">for the HCP/Dunn family only (§3.3), and hierarchical constructions are not</w:t>
      </w:r>
      <w:r>
        <w:t xml:space="preserve"> </w:t>
      </w:r>
      <w:r>
        <w:t xml:space="preserve">compared with one another [14]. On PTB-XL the verdict is exhaustive only for the</w:t>
      </w:r>
      <w:r>
        <w:t xml:space="preserve"> </w:t>
      </w:r>
      <w:r>
        <w:t xml:space="preserve">declared sources {patient, site, nurse, device}, which cannot be verified from</w:t>
      </w:r>
      <w:r>
        <w:t xml:space="preserve"> </w:t>
      </w:r>
      <w:r>
        <w:t xml:space="preserve">data; the collapse of joined partitions into a giant component is itself known</w:t>
      </w:r>
      <w:r>
        <w:t xml:space="preserve"> </w:t>
      </w:r>
      <w:r>
        <w:t xml:space="preserve">[41]. Declaring only {patient, site} gives</w:t>
      </w:r>
      <w:r>
        <w:t xml:space="preserve"> </w:t>
      </w:r>
      <m:oMath>
        <m:sSub>
          <m:e>
            <m:r>
              <m:t>K</m:t>
            </m:r>
          </m:e>
          <m:sub>
            <m:r>
              <m:t>1</m:t>
            </m:r>
          </m:sub>
        </m:sSub>
        <m:r>
          <m:rPr>
            <m:sty m:val="p"/>
          </m:rPr>
          <m:t>=</m:t>
        </m:r>
        <m:r>
          <m:t>34</m:t>
        </m:r>
      </m:oMath>
      <w:r>
        <w:t xml:space="preserve"> </w:t>
      </w:r>
      <w:r>
        <w:t xml:space="preserve">on the full calibration fold</w:t>
      </w:r>
      <w:r>
        <w:t xml:space="preserve"> </w:t>
      </w:r>
      <w:r>
        <w:t xml:space="preserve">and makes</w:t>
      </w:r>
      <w:r>
        <w:t xml:space="preserve"> </w:t>
      </w:r>
      <m:oMath>
        <m:r>
          <m:t>α</m:t>
        </m:r>
        <m:r>
          <m:rPr>
            <m:sty m:val="p"/>
          </m:rPr>
          <m:t>=</m:t>
        </m:r>
        <m:r>
          <m:t>0.05</m:t>
        </m:r>
      </m:oMath>
      <w:r>
        <w:t xml:space="preserve"> </w:t>
      </w:r>
      <w:r>
        <w:t xml:space="preserve">feasible, but 31 of those blocks consist solely of 188</w:t>
      </w:r>
      <w:r>
        <w:t xml:space="preserve"> </w:t>
      </w:r>
      <w:r>
        <w:t xml:space="preserve">records lacking nurse metadata, and on the 1,960 records with complete metadata</w:t>
      </w:r>
      <w:r>
        <w:t xml:space="preserve"> </w:t>
      </w:r>
      <w:r>
        <w:t xml:space="preserve">the same declaration gives</w:t>
      </w:r>
      <w:r>
        <w:t xml:space="preserve"> </w:t>
      </w:r>
      <m:oMath>
        <m:sSub>
          <m:e>
            <m:r>
              <m:t>K</m:t>
            </m:r>
          </m:e>
          <m:sub>
            <m:r>
              <m:t>1</m:t>
            </m:r>
          </m:sub>
        </m:sSub>
        <m:r>
          <m:rPr>
            <m:sty m:val="p"/>
          </m:rPr>
          <m:t>=</m:t>
        </m:r>
        <m:r>
          <m:t>3</m:t>
        </m:r>
      </m:oMath>
      <w:r>
        <w:t xml:space="preserve">. We therefore state the result conditionally:</w:t>
      </w:r>
      <w:r>
        <w:t xml:space="preserve"> </w:t>
      </w:r>
      <w:r>
        <w:rPr>
          <w:i/>
          <w:iCs/>
        </w:rPr>
        <w:t xml:space="preserve">if 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Finally,</w:t>
      </w:r>
      <w:r>
        <w:t xml:space="preserve"> </w:t>
      </w:r>
      <w:r>
        <w:t xml:space="preserve">explanations of what ECG networks learn [47] and benchmark discrimination [1]</w:t>
      </w:r>
      <w:r>
        <w:t xml:space="preserve"> </w:t>
      </w:r>
      <w:r>
        <w:t xml:space="preserve">are orthogonal to the question asked here: a highly accurate model calibrated on</w:t>
      </w:r>
      <w:r>
        <w:t xml:space="preserve"> </w:t>
      </w:r>
      <w:r>
        <w:t xml:space="preserve">too few blocks still has no guarantee.</w:t>
      </w:r>
    </w:p>
    <w:p>
      <w:pPr>
        <w:pStyle w:val="BodyText"/>
        <w:jc w:val="both"/>
      </w:pPr>
      <w:r>
        <w:rPr>
          <w:b/>
          <w:bCs/>
        </w:rPr>
        <w:t xml:space="preserve">Researcher degrees of freedom.</w:t>
      </w:r>
      <w:r>
        <w:t xml:space="preserve"> </w:t>
      </w:r>
      <w:r>
        <w:t xml:space="preserve">Our reading of the MIT-BIH evidence changed</w:t>
      </w:r>
      <w:r>
        <w:t xml:space="preserve"> </w:t>
      </w:r>
      <w:r>
        <w:t xml:space="preserve">three times before it stabilized, each time after a control was added rather than</w:t>
      </w:r>
      <w:r>
        <w:t xml:space="preserve"> </w:t>
      </w:r>
      <w:r>
        <w:t xml:space="preserve">after existing data were reinterpreted (Appendix B). Three analyses were added or</w:t>
      </w:r>
      <w:r>
        <w:t xml:space="preserve"> </w:t>
      </w:r>
      <w:r>
        <w:t xml:space="preserve">changed after results were seen, and each tightened the evidence: the</w:t>
      </w:r>
      <w:r>
        <w:t xml:space="preserve"> </w:t>
      </w:r>
      <w:r>
        <w:t xml:space="preserve">permutation control invalidated a criterion that had favored our hypothesis; the</w:t>
      </w:r>
      <w:r>
        <w:t xml:space="preserve"> </w:t>
      </w:r>
      <w:r>
        <w:t xml:space="preserve">Holm correction, required by the frozen analysis plan but not initially applied,</w:t>
      </w:r>
      <w:r>
        <w:t xml:space="preserve"> </w:t>
      </w:r>
      <w:r>
        <w:t xml:space="preserve">removed the one remaining significant level for ResNet1D-34; and the reporting</w:t>
      </w:r>
      <w:r>
        <w:t xml:space="preserve"> </w:t>
      </w:r>
      <w:r>
        <w:t xml:space="preserve">axis was adopted after ICC failed to unify the two datasets.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was already in our theoretical notes before the data were</w:t>
      </w:r>
      <w:r>
        <w:t xml:space="preserve"> </w:t>
      </w:r>
      <w:r>
        <w:t xml:space="preserve">collected, and</w:t>
      </w:r>
      <w:r>
        <w:t xml:space="preserve"> </w:t>
      </w:r>
      <m:oMath>
        <m:r>
          <m:t>H</m:t>
        </m:r>
      </m:oMath>
      <w:r>
        <w:t xml:space="preserve"> </w:t>
      </w:r>
      <w:r>
        <w:t xml:space="preserve">follows from the variance in §3.2 rather than being chosen, but</w:t>
      </w:r>
      <w:r>
        <w:t xml:space="preserve"> </w:t>
      </w:r>
      <w:r>
        <w:t xml:space="preserve">the decision to report on that axis was made with the results in view. A complete</w:t>
      </w:r>
      <w:r>
        <w:t xml:space="preserve"> </w:t>
      </w:r>
      <w:r>
        <w:t xml:space="preserve">deviation log accompanies the protocol.</w:t>
      </w:r>
    </w:p>
    <w:bookmarkEnd w:id="57"/>
    <w:bookmarkEnd w:id="58"/>
    <w:bookmarkStart w:id="59" w:name="conclusion"/>
    <w:p>
      <w:pPr>
        <w:pStyle w:val="Heading1"/>
      </w:pPr>
      <w:r>
        <w:t xml:space="preserve">7. Conclusion</w:t>
      </w:r>
    </w:p>
    <w:p>
      <w:pPr>
        <w:pStyle w:val="FirstParagraph"/>
        <w:jc w:val="both"/>
      </w:pPr>
      <w:r>
        <w:t xml:space="preserve">On clinical ECG data, a distribution-free coverage guarantee is a property of the</w:t>
      </w:r>
      <w:r>
        <w:t xml:space="preserve"> </w:t>
      </w:r>
      <w:r>
        <w:t xml:space="preserve">study design before it is a property of the model. Whether HCP can deliver one at</w:t>
      </w:r>
      <w:r>
        <w:t xml:space="preserve"> </w:t>
      </w:r>
      <w:r>
        <w:t xml:space="preserve">a given error rate depends on how many calibration blocks respect the declared</w:t>
      </w:r>
      <w:r>
        <w:t xml:space="preserve"> </w:t>
      </w:r>
      <w:r>
        <w:t xml:space="preserve">dependence sources, a number computable from metadata before enrollment and often</w:t>
      </w:r>
      <w:r>
        <w:t xml:space="preserve"> </w:t>
      </w:r>
      <w:r>
        <w:t xml:space="preserve">smallest for the rare diagnoses where calibrated uncertainty matters most.</w:t>
      </w:r>
      <w:r>
        <w:t xml:space="preserve"> </w:t>
      </w:r>
      <w:r>
        <w:t xml:space="preserve">Whether ignoring blocks costs coverage depends on how much repetition the blocks</w:t>
      </w:r>
      <w:r>
        <w:t xml:space="preserve"> </w:t>
      </w:r>
      <w:r>
        <w:t xml:space="preserve">contain rather than on how correlated they are. Evaluations of hierarchical</w:t>
      </w:r>
      <w:r>
        <w:t xml:space="preserve"> </w:t>
      </w:r>
      <w:r>
        <w:t xml:space="preserve">conformal methods should compare against a null that removes dependence while</w:t>
      </w:r>
      <w:r>
        <w:t xml:space="preserve"> </w:t>
      </w:r>
      <w:r>
        <w:t xml:space="preserve">preserving block geometry and report set size with coverage, and clinical studies</w:t>
      </w:r>
      <w:r>
        <w:t xml:space="preserve"> </w:t>
      </w:r>
      <w:r>
        <w:t xml:space="preserve">claiming conformal guarantees should report the number of calibration blocks,</w:t>
      </w:r>
      <w:r>
        <w:t xml:space="preserve"> </w:t>
      </w:r>
      <w:r>
        <w:t xml:space="preserve">per label where relevant, with the dependence sources they declared. These</w:t>
      </w:r>
      <w:r>
        <w:t xml:space="preserve"> </w:t>
      </w:r>
      <w:r>
        <w:t xml:space="preserve">conclusions concern one method family and the sources declared here; whether</w:t>
      </w:r>
      <w:r>
        <w:t xml:space="preserve"> </w:t>
      </w:r>
      <w:r>
        <w:t xml:space="preserve">other block-level procedures share the same boundary remains open.</w:t>
      </w:r>
    </w:p>
    <w:bookmarkEnd w:id="59"/>
    <w:bookmarkStart w:id="63" w:name="appendix-a.-supplementary-derivations"/>
    <w:p>
      <w:pPr>
        <w:pStyle w:val="Heading1"/>
      </w:pPr>
      <w:r>
        <w:t xml:space="preserve">Appendix A. Supplementary Derivations</w:t>
      </w:r>
    </w:p>
    <w:bookmarkStart w:id="60" w:name="a.1-the-boundary-case-of-proposition-1"/>
    <w:p>
      <w:pPr>
        <w:pStyle w:val="Heading2"/>
      </w:pPr>
      <w:r>
        <w:t xml:space="preserve">A.1 The boundary case of Proposition 1</w:t>
      </w:r>
    </w:p>
    <w:p>
      <w:pPr>
        <w:pStyle w:val="FirstParagraph"/>
        <w:jc w:val="both"/>
      </w:pPr>
      <w:r>
        <w:t xml:space="preserve">An earlier version of this work stated (3) as a strict inequality, which is wrong</w:t>
      </w:r>
      <w:r>
        <w:t xml:space="preserve"> </w:t>
      </w:r>
      <w:r>
        <w:t xml:space="preserve">at 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equals</w:t>
      </w:r>
      <w:r>
        <w:t xml:space="preserve"> </w:t>
      </w:r>
      <m:oMath>
        <m:r>
          <m:t>1</m:t>
        </m:r>
        <m:r>
          <m:rPr>
            <m:sty m:val="p"/>
          </m:rPr>
          <m:t>−</m:t>
        </m:r>
        <m:r>
          <m:t>α</m:t>
        </m:r>
      </m:oMath>
      <w:r>
        <w:t xml:space="preserve">, the infimum is attained at</w:t>
      </w:r>
      <w:r>
        <w:t xml:space="preserve"> </w:t>
      </w:r>
      <m:oMath>
        <m:r>
          <m:t>M</m:t>
        </m:r>
      </m:oMath>
      <w:r>
        <w:t xml:space="preserve">, and the threshold is finite.</w:t>
      </w:r>
      <w:r>
        <w:t xml:space="preserve"> </w:t>
      </w:r>
      <w:r>
        <w:t xml:space="preserve">Simulation at</w:t>
      </w:r>
      <w:r>
        <w:t xml:space="preserve"> </w:t>
      </w:r>
      <m:oMath>
        <m:sSub>
          <m:e>
            <m:r>
              <m:t>K</m:t>
            </m:r>
          </m:e>
          <m:sub>
            <m:r>
              <m:t>1</m:t>
            </m:r>
          </m:sub>
        </m:sSub>
        <m:r>
          <m:rPr>
            <m:sty m:val="p"/>
          </m:rPr>
          <m:t>=</m:t>
        </m:r>
        <m:r>
          <m:t>19</m:t>
        </m:r>
      </m:oMath>
      <w:r>
        <w:t xml:space="preserve">,</w:t>
      </w:r>
      <w:r>
        <w:t xml:space="preserve"> </w:t>
      </w:r>
      <m:oMath>
        <m:r>
          <m:t>α</m:t>
        </m:r>
        <m:r>
          <m:rPr>
            <m:sty m:val="p"/>
          </m:rPr>
          <m:t>=</m:t>
        </m:r>
        <m:r>
          <m:t>0.05</m:t>
        </m:r>
      </m:oMath>
      <w:r>
        <w:t xml:space="preserve"> </w:t>
      </w:r>
      <w:r>
        <w:t xml:space="preserve">gives empirical coverage</w:t>
      </w:r>
      <w:r>
        <w:t xml:space="preserve"> </w:t>
      </w:r>
      <m:oMath>
        <m:r>
          <m:t>0.9512</m:t>
        </m:r>
        <m:r>
          <m:rPr>
            <m:sty m:val="p"/>
          </m:rPr>
          <m:t>≥</m:t>
        </m:r>
        <m:r>
          <m:t>0.95</m:t>
        </m:r>
      </m:oMath>
      <w:r>
        <w:t xml:space="preserve">.</w:t>
      </w:r>
      <w:r>
        <w:t xml:space="preserve"> </w:t>
      </w:r>
      <w:r>
        <w:t xml:space="preserve">Only the non-strict form agrees with the split-conformal case</w:t>
      </w:r>
      <w:r>
        <w:t xml:space="preserve"> </w:t>
      </w:r>
      <m:oMath>
        <m:sSub>
          <m:e>
            <m:r>
              <m:t>N</m:t>
            </m:r>
          </m:e>
          <m:sub>
            <m:r>
              <m:t>k</m:t>
            </m:r>
          </m:sub>
        </m:sSub>
        <m:r>
          <m:rPr>
            <m:sty m:val="p"/>
          </m:rPr>
          <m:t>=</m:t>
        </m:r>
        <m:r>
          <m:t>1</m:t>
        </m:r>
      </m:oMath>
      <w:r>
        <w:t xml:space="preserve">.</w:t>
      </w:r>
    </w:p>
    <w:bookmarkEnd w:id="60"/>
    <w:bookmarkStart w:id="61" w:name="a.2-variance-under-compound-symmetry"/>
    <w:p>
      <w:pPr>
        <w:pStyle w:val="Heading2"/>
      </w:pPr>
      <w:r>
        <w:t xml:space="preserve">A.2 Variance under compound symmetry</w:t>
      </w:r>
    </w:p>
    <w:p>
      <w:pPr>
        <w:pStyle w:val="FirstParagraph"/>
      </w:pPr>
      <w:r>
        <w:t xml:space="preserve">Under Assumption (A) of §3.2, the variance of</w:t>
      </w:r>
      <w:r>
        <w:t xml:space="preserve"> </w:t>
      </w:r>
      <m:oMath>
        <m:acc>
          <m:accPr>
            <m:chr m:val="̂"/>
          </m:accPr>
          <m:e>
            <m:r>
              <m:t>G</m:t>
            </m:r>
          </m:e>
        </m:acc>
        <m:r>
          <m:rPr>
            <m:sty m:val="p"/>
          </m:rPr>
          <m:t>(</m:t>
        </m:r>
        <m:r>
          <m:t>t</m:t>
        </m:r>
        <m:r>
          <m:rPr>
            <m:sty m:val="p"/>
          </m:rPr>
          <m:t>)</m:t>
        </m:r>
      </m:oMath>
      <w:r>
        <w:t xml:space="preserve"> </w:t>
      </w:r>
      <w:r>
        <w:t xml:space="preserve">is</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the variance tends to</w:t>
      </w:r>
      <w:r>
        <w:t xml:space="preserve"> </w:t>
      </w:r>
      <m:oMath>
        <m:sSup>
          <m:e>
            <m:r>
              <m:t>σ</m:t>
            </m:r>
          </m:e>
          <m:sup>
            <m:r>
              <m:t>2</m:t>
            </m:r>
          </m:sup>
        </m:sSup>
        <m:r>
          <m:t>ρ</m:t>
        </m:r>
        <m:r>
          <m:rPr>
            <m:sty m:val="p"/>
          </m:rPr>
          <m:t>/</m:t>
        </m:r>
        <m:sSub>
          <m:e>
            <m:r>
              <m:t>K</m:t>
            </m:r>
          </m:e>
          <m:sub>
            <m:r>
              <m:t>1</m:t>
            </m:r>
          </m:sub>
        </m:sSub>
      </m:oMath>
      <w:r>
        <w:t xml:space="preserve">. This floor belongs to</w:t>
      </w:r>
      <w:r>
        <w:t xml:space="preserve"> </w:t>
      </w:r>
      <w:r>
        <w:t xml:space="preserve">compound symmetry, not to clustered data in general: if correlation decays with</w:t>
      </w:r>
      <w:r>
        <w:t xml:space="preserve"> </w:t>
      </w:r>
      <w:r>
        <w:t xml:space="preserve">separation, as plausibly holds for consecutive beats in a long Holter record, the</w:t>
      </w:r>
      <w:r>
        <w:t xml:space="preserve"> </w:t>
      </w:r>
      <w:r>
        <w:t xml:space="preserve">mean pairwise correlation can shrink with</w:t>
      </w:r>
      <w:r>
        <w:t xml:space="preserve"> </w:t>
      </w:r>
      <m:oMath>
        <m:sSub>
          <m:e>
            <m:r>
              <m:t>N</m:t>
            </m:r>
          </m:e>
          <m:sub>
            <m:r>
              <m:t>k</m:t>
            </m:r>
          </m:sub>
        </m:sSub>
      </m:oMath>
      <w:r>
        <w:t xml:space="preserve"> </w:t>
      </w:r>
      <w:r>
        <w:t xml:space="preserve">and the floor disappears. We make</w:t>
      </w:r>
      <w:r>
        <w:t xml:space="preserve"> </w:t>
      </w:r>
      <w:r>
        <w:t xml:space="preserve">no claim outside (A).</w:t>
      </w:r>
    </w:p>
    <w:bookmarkEnd w:id="61"/>
    <w:bookmarkStart w:id="62" w:name="X7762396f0ee7e442bd161c48a219bce8dfbbc32"/>
    <w:p>
      <w:pPr>
        <w:pStyle w:val="Heading2"/>
      </w:pPr>
      <w:r>
        <w:t xml:space="preserve">A.3 Departing from equal weights can break the guarantee</w:t>
      </w:r>
    </w:p>
    <w:p>
      <w:pPr>
        <w:pStyle w:val="FirstParagraph"/>
        <w:jc w:val="both"/>
      </w:pPr>
      <w:r>
        <w:t xml:space="preserve">With</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puts mass</w:t>
      </w:r>
      <w:r>
        <w:t xml:space="preserve"> </w:t>
      </w:r>
      <m:oMath>
        <m:f>
          <m:fPr>
            <m:type m:val="lin"/>
          </m:fPr>
          <m:num>
            <m:r>
              <m:t>1</m:t>
            </m:r>
          </m:num>
          <m:den>
            <m:r>
              <m:t>3</m:t>
            </m:r>
          </m:den>
        </m:f>
      </m:oMath>
      <w:r>
        <w:t xml:space="preserve"> </w:t>
      </w:r>
      <w:r>
        <w:t xml:space="preserve">on each</w:t>
      </w:r>
      <w:r>
        <w:t xml:space="preserve"> </w:t>
      </w:r>
      <w:r>
        <w:t xml:space="preserve">calibration score and on</w:t>
      </w:r>
      <w:r>
        <w:t xml:space="preserve"> </w:t>
      </w:r>
      <m:oMath>
        <m:r>
          <m:rPr>
            <m:sty m:val="p"/>
          </m:rPr>
          <m:t>+</m:t>
        </m:r>
        <m:r>
          <m:rPr>
            <m:sty m:val="p"/>
          </m:rPr>
          <m:t>∞</m:t>
        </m:r>
      </m:oMath>
      <w:r>
        <w:t xml:space="preserve">, giving threshold</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coverage</w:t>
      </w:r>
      <w:r>
        <w:t xml:space="preserve"> </w:t>
      </w:r>
      <w:r>
        <w:t xml:space="preserve">exactly</w:t>
      </w:r>
      <w:r>
        <w:t xml:space="preserve"> </w:t>
      </w:r>
      <m:oMath>
        <m:f>
          <m:fPr>
            <m:type m:val="lin"/>
          </m:fPr>
          <m:num>
            <m:r>
              <m:t>2</m:t>
            </m:r>
          </m:num>
          <m:den>
            <m:r>
              <m:t>3</m:t>
            </m:r>
          </m:den>
        </m:f>
      </m:oMath>
      <w:r>
        <w:t xml:space="preserve">; moving the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keeping</w:t>
      </w:r>
      <w:r>
        <w:t xml:space="preserve"> </w:t>
      </w:r>
      <m:oMath>
        <m:f>
          <m:fPr>
            <m:type m:val="lin"/>
          </m:fPr>
          <m:num>
            <m:r>
              <m:t>1</m:t>
            </m:r>
          </m:num>
          <m:den>
            <m:r>
              <m:t>3</m:t>
            </m:r>
          </m:den>
        </m:f>
      </m:oMath>
      <w:r>
        <w:t xml:space="preserve"> </w:t>
      </w:r>
      <w:r>
        <w:t xml:space="preserve">on</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 exchangeable scores the</w:t>
      </w:r>
      <w:r>
        <w:t xml:space="preserve"> </w:t>
      </w:r>
      <w:r>
        <w:t xml:space="preserve">coverage falls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2"/>
    <w:bookmarkEnd w:id="63"/>
    <w:bookmarkStart w:id="64" w:name="X06db9a02045705c8b7d21c68ec78218971b4832"/>
    <w:p>
      <w:pPr>
        <w:pStyle w:val="Heading1"/>
      </w:pPr>
      <w:r>
        <w:t xml:space="preserve">Appendix B. Interim Conclusions on MIT-BIH</w:t>
      </w:r>
    </w:p>
    <w:p>
      <w:pPr>
        <w:pStyle w:val="FirstParagraph"/>
        <w:jc w:val="both"/>
      </w:pPr>
      <w:r>
        <w:t xml:space="preserve">Our reading of the MIT-BIH evidence changed three times (§6.4). The second stage</w:t>
      </w:r>
      <w:r>
        <w:t xml:space="preserve"> </w:t>
      </w:r>
      <w:r>
        <w:t xml:space="preserve">was our own error: it compared analyses with different calibration sizes (about</w:t>
      </w:r>
      <w:r>
        <w:t xml:space="preserve"> </w:t>
      </w:r>
      <w:r>
        <w:t xml:space="preserve">24,800 against 16,500 beats) and attributed the difference to block balance.</w:t>
      </w:r>
      <w:r>
        <w:t xml:space="preserve"> </w:t>
      </w:r>
      <w:r>
        <w:t xml:space="preserve">Table IX lists each interim conclusion together with the control that</w:t>
      </w:r>
      <w:r>
        <w:t xml:space="preserve"> </w:t>
      </w:r>
      <w:r>
        <w:t xml:space="preserve">overturned it.</w:t>
      </w:r>
    </w:p>
    <w:p>
      <w:pPr>
        <w:pStyle w:val="BodyText"/>
        <w:keepNext/>
        <w:spacing w:before="160"/>
        <w:jc w:val="center"/>
      </w:pPr>
      <w:r/>
      <w:r>
        <w:rPr>
          <w:sz w:val="18"/>
        </w:rPr>
        <w:t>TABLE IX</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c>
          <w:tcPr/>
          <w:p>
            <w:pPr>
              <w:pStyle w:val="Compact"/>
            </w:pPr>
            <w:r>
              <w:rPr>
                <w:sz w:val="17"/>
              </w:rPr>
              <w:t xml:space="preserve">4</w:t>
            </w:r>
          </w:p>
        </w:tc>
        <w:tc>
          <w:tcPr/>
          <w:p>
            <w:pPr>
              <w:pStyle w:val="Compac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pPr>
            <w:r>
              <w:rPr>
                <w:sz w:val="17"/>
              </w:rPr>
              <w:t xml:space="preserve">— stands</w:t>
            </w:r>
          </w:p>
        </w:tc>
      </w:tr>
    </w:tbl>
    <w:bookmarkEnd w:id="64"/>
    <w:bookmarkStart w:id="6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1" Type="http://schemas.openxmlformats.org/officeDocument/2006/relationships/image" Target="media/rId21.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2026-10-02T16:55:26Z</dcterms:created>
  <dcterms:modified xsi:type="dcterms:W3CDTF">2026-10-02T16:55:26Z</dcterms:modified>
</cp:coreProperties>
</file>

<file path=docProps/custom.xml><?xml version="1.0" encoding="utf-8"?>
<Properties xmlns="http://schemas.openxmlformats.org/officeDocument/2006/custom-properties" xmlns:vt="http://schemas.openxmlformats.org/officeDocument/2006/docPropsVTypes"/>
</file>