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2026-10-03 from commit 31bcb36.</w:t>
      </w:r>
    </w:p>
    <w:bookmarkStart w:id="9" w:name="abstract"/>
    <w:p>
      <w:pPr>
        <w:pStyle w:val="Heading1"/>
      </w:pPr>
      <w:r>
        <w:t xml:space="preserve">Abstract</w:t>
      </w:r>
    </w:p>
    <w:p>
      <w:pPr>
        <w:pStyle w:val="FirstParagraph"/>
        <w:jc w:val="both"/>
      </w:pPr>
      <w:r>
        <w:t xml:space="preserve">Conformal prediction guarantees finite-sample coverage only when calibration and test data are exchangeable, a condition that repeated recordings, segments and beats from the same patient violate. Hierarchical conformal prediction (HCP) recovers the guarantee by calibrating over blocks, yet its threshold exists only for target error rates of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We audit three public electrocardiogram resources to ask whether this guarantee can be enforced when several dependence sources are declared and coverage is required per diagnosis, and whether ignoring blocks costs coverage. From metadata alone, declaring the four documented dependence sources of PTB-XL leaves a single admissible calibration block, and under patient blocking 24 of 44 diagnostic SCP statements have no finite per-label threshold at</w:t>
      </w:r>
      <w:r>
        <w:t xml:space="preserve"> </w:t>
      </w:r>
      <m:oMath>
        <m:r>
          <m:t>α</m:t>
        </m:r>
        <m:r>
          <m:rPr>
            <m:sty m:val="p"/>
          </m:rPr>
          <m:t>=</m:t>
        </m:r>
        <m:r>
          <m:t>0.05</m:t>
        </m:r>
      </m:oMath>
      <w:r>
        <w:t xml:space="preserve">. Across repeated splits of the 22 MIT-BIH evaluation subjects, naive split conformal covers 1.5–2.4 percentage points less than a matched permutation null; a factorial design attributes the shortfall mainly to clustering, and a controlled dose–response experiment shows it growing with the design effect (rank correlation 0.80–0.85 over 12 configurations, 11 of them synthetic). A jackknife over subjects, however, cannot resolve the sign of this deficit: the scarcity of blocks that limits the guarantee also limits the evidence. PTB-XL shows no deficit despite a within-patient correlation of 0.35, consistent with most of its patients contributing one recording. Most of the coverage gap between HCP and naive calibration is mechanical: 75–110% of it persists when dependence is permuted away and block sizes are kept. Blocks, not records, should be counted, and subjects, not splits, resampled, before claims about distribution-free coverage are made on clinical data.</w:t>
      </w:r>
    </w:p>
    <w:p>
      <w:pPr>
        <w:pStyle w:val="BodyText"/>
        <w:jc w:val="left"/>
      </w:pPr>
      <w:r>
        <w:rPr>
          <w:b/>
          <w:bCs/>
        </w:rPr>
        <w:t xml:space="preserve">Keywords:</w:t>
      </w:r>
      <w:r>
        <w:t xml:space="preserve"> </w:t>
      </w:r>
      <w:r>
        <w:t xml:space="preserve">Conformal prediction; electrocardiography; uncertainty quantification; hierarchical data; exchangeability; calibration; study design</w:t>
      </w:r>
    </w:p>
    <w:bookmarkEnd w:id="9"/>
    <w:bookmarkStart w:id="13"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routine, and both reviews of clinical deep learning [3]</w:t>
      </w:r>
      <w:r>
        <w:t xml:space="preserve"> </w:t>
      </w:r>
      <w:r>
        <w:t xml:space="preserve">and the FUTURE-AI guideline [4] treat calibrated uncertainty as a prerequisite</w:t>
      </w:r>
      <w:r>
        <w:t xml:space="preserve"> </w:t>
      </w:r>
      <w:r>
        <w:t xml:space="preserve">for deployment. Conformal prediction provides it by turning a trained classifier</w:t>
      </w:r>
      <w:r>
        <w:t xml:space="preserve"> </w:t>
      </w:r>
      <w:r>
        <w:t xml:space="preserve">into a set predictor with finite-sample coverage [5]. It has been applied</w:t>
      </w:r>
      <w:r>
        <w:t xml:space="preserve"> </w:t>
      </w:r>
      <w:r>
        <w:t xml:space="preserve">across clinical domains [6] and, for cardiac signals, to calibrate</w:t>
      </w:r>
      <w:r>
        <w:t xml:space="preserve"> </w:t>
      </w:r>
      <w:r>
        <w:t xml:space="preserve">quantized models [7], adapt inference on wearables [8], expose class- and</w:t>
      </w:r>
      <w:r>
        <w:t xml:space="preserve"> </w:t>
      </w:r>
      <w:r>
        <w:t xml:space="preserve">patient-level failures [9] and bound false alarms in monitoring [10]. All of</w:t>
      </w:r>
      <w:r>
        <w:t xml:space="preserve"> </w:t>
      </w:r>
      <w:r>
        <w:t xml:space="preserve">these uses assume that calibration and test observations are exchangeable;</w:t>
      </w:r>
      <w:r>
        <w:t xml:space="preserve"> </w:t>
      </w:r>
      <w:r>
        <w:t xml:space="preserve">without that assumption only a generic bound on the coverage gap survives [11].</w:t>
      </w:r>
    </w:p>
    <w:p>
      <w:pPr>
        <w:pStyle w:val="BodyText"/>
        <w:jc w:val="both"/>
      </w:pPr>
      <w:r>
        <w:t xml:space="preserve">Stored ECG data rarely meet it. A patient contributes several recordings, Holter</w:t>
      </w:r>
      <w:r>
        <w:t xml:space="preserve"> </w:t>
      </w:r>
      <w:r>
        <w:t xml:space="preserve">episodes are cut into segments, one recording yields thousands of beats, and</w:t>
      </w:r>
      <w:r>
        <w:t xml:space="preserve"> </w:t>
      </w:r>
      <w:r>
        <w:t xml:space="preserve">patients share devices, sites and operators, so a calibration set may hold far</w:t>
      </w:r>
      <w:r>
        <w:t xml:space="preserve"> </w:t>
      </w:r>
      <w:r>
        <w:t xml:space="preserve">fewer independent units than records. Hierarchical conformal prediction (HCP)</w:t>
      </w:r>
      <w:r>
        <w:t xml:space="preserve"> </w:t>
      </w:r>
      <w:r>
        <w:t xml:space="preserve">handles such data by calibrating over blocks under hierarchical exchangeability</w:t>
      </w:r>
      <w:r>
        <w:t xml:space="preserve"> </w:t>
      </w:r>
      <w:r>
        <w:t xml:space="preserve">[12]; Dunn et al. developed related two-layer constructions [13]. Because HCP</w:t>
      </w:r>
      <w:r>
        <w:t xml:space="preserve"> </w:t>
      </w:r>
      <w:r>
        <w:t xml:space="preserve">gives each calibration block equal mass and adds an atom at</w:t>
      </w:r>
      <w:r>
        <w:t xml:space="preserve"> </w:t>
      </w:r>
      <m:oMath>
        <m:r>
          <m:rPr>
            <m:sty m:val="p"/>
          </m:rPr>
          <m:t>+</m:t>
        </m:r>
        <m:r>
          <m:rPr>
            <m:sty m:val="p"/>
          </m:rPr>
          <m:t>∞</m:t>
        </m:r>
      </m:oMath>
      <w:r>
        <w:t xml:space="preserve">, its</w:t>
      </w:r>
      <w:r>
        <w:t xml:space="preserve"> </w:t>
      </w:r>
      <w:r>
        <w:t xml:space="preserve">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A large dataset can</w:t>
      </w:r>
      <w:r>
        <w:t xml:space="preserve"> </w:t>
      </w:r>
      <w:r>
        <w:t xml:space="preserve">thus be left with few blocks once every dependence source is respected, and a</w:t>
      </w:r>
      <w:r>
        <w:t xml:space="preserve"> </w:t>
      </w:r>
      <w:r>
        <w:t xml:space="preserve">rare diagnosis with fewer still. Conversely, ignoring blocks may cost nothing</w:t>
      </w:r>
      <w:r>
        <w:t xml:space="preserve"> </w:t>
      </w:r>
      <w:r>
        <w:t xml:space="preserve">when almost every patient contributes one recording. Lee et al. leave the choice</w:t>
      </w:r>
      <w:r>
        <w:t xml:space="preserve"> </w:t>
      </w:r>
      <w:r>
        <w:t xml:space="preserve">between many small and few large groups open as a design question [12]. Dunn et</w:t>
      </w:r>
      <w:r>
        <w:t xml:space="preserve"> </w:t>
      </w:r>
      <w:r>
        <w:t xml:space="preserve">al. state how many groups their hierarchical constructions need for non-trivial</w:t>
      </w:r>
      <w:r>
        <w:t xml:space="preserve"> </w:t>
      </w:r>
      <w:r>
        <w:t xml:space="preserve">prediction sets [13], and Sim and Kim showed for ECG monitoring that the</w:t>
      </w:r>
      <w:r>
        <w:t xml:space="preserve"> </w:t>
      </w:r>
      <w:r>
        <w:t xml:space="preserve">false-alarm guarantee of split conformal prediction counts subjects, not beats,</w:t>
      </w:r>
      <w:r>
        <w:t xml:space="preserve"> </w:t>
      </w:r>
      <w:r>
        <w:t xml:space="preserve">and needs at least 19 calibration subjects at</w:t>
      </w:r>
      <w:r>
        <w:t xml:space="preserve"> </w:t>
      </w:r>
      <m:oMath>
        <m:r>
          <m:t>α</m:t>
        </m:r>
        <m:r>
          <m:rPr>
            <m:sty m:val="p"/>
          </m:rPr>
          <m:t>=</m:t>
        </m:r>
        <m:r>
          <m:t>0.05</m:t>
        </m:r>
      </m:oMath>
      <w:r>
        <w:t xml:space="preserve"> </w:t>
      </w:r>
      <w:r>
        <w:t xml:space="preserve">[10].</w:t>
      </w:r>
    </w:p>
    <w:p>
      <w:pPr>
        <w:pStyle w:val="BodyText"/>
        <w:jc w:val="both"/>
      </w:pPr>
      <w:r>
        <w:t xml:space="preserve">These results concern one grouping at a time. How the requirement plays out in</w:t>
      </w:r>
      <w:r>
        <w:t xml:space="preserve"> </w:t>
      </w:r>
      <w:r>
        <w:t xml:space="preserve">real clinical resources, where several dependence sources can be crossed and</w:t>
      </w:r>
      <w:r>
        <w:t xml:space="preserve"> </w:t>
      </w:r>
      <w:r>
        <w:t xml:space="preserve">coverage may be required per diagnosis, and how much of an observed coverage gap</w:t>
      </w:r>
      <w:r>
        <w:t xml:space="preserve"> </w:t>
      </w:r>
      <w:r>
        <w:t xml:space="preserve">reflects dependence rather than the method itself, remains insufficiently</w:t>
      </w:r>
      <w:r>
        <w:t xml:space="preserve"> </w:t>
      </w:r>
      <w:r>
        <w:t xml:space="preserve">characterized. We address these design-stage questions by auditing three public</w:t>
      </w:r>
      <w:r>
        <w:t xml:space="preserve"> </w:t>
      </w:r>
      <w:r>
        <w:t xml:space="preserve">ECG resources: PTB-XL [2], [14], in which 18,869 patients contribute 1.16 records</w:t>
      </w:r>
      <w:r>
        <w:t xml:space="preserve"> </w:t>
      </w:r>
      <w:r>
        <w:t xml:space="preserve">on average; the MIT-BIH Arrhythmia Database [15], whose 44 non-paced records come</w:t>
      </w:r>
      <w:r>
        <w:t xml:space="preserve"> </w:t>
      </w:r>
      <w:r>
        <w:t xml:space="preserve">from 43 subjects and hold more than 1,500 beats each; and the PhysioNet/CinC</w:t>
      </w:r>
      <w:r>
        <w:t xml:space="preserve"> </w:t>
      </w:r>
      <w:r>
        <w:t xml:space="preserve">Challenge 2021 collection [16], which does not document a patient identifier. Two questions guide the audit. Can a block-level guarantee be</w:t>
      </w:r>
      <w:r>
        <w:t xml:space="preserve"> </w:t>
      </w:r>
      <w:r>
        <w:t xml:space="preserve">enforced at conventional error rates (RQ1)? Does ignoring block structure cost</w:t>
      </w:r>
      <w:r>
        <w:t xml:space="preserve"> </w:t>
      </w:r>
      <w:r>
        <w:t xml:space="preserve">coverage, and through what mechanism (RQ2)? Fig. 1 shows the two stages that</w:t>
      </w:r>
      <w:r>
        <w:t xml:space="preserve"> </w:t>
      </w:r>
      <w:r>
        <w:t xml:space="preserve">answer them, RQ1 from metadata alone and RQ2 from the conformity scores of three</w:t>
      </w:r>
      <w:r>
        <w:t xml:space="preserve"> </w:t>
      </w:r>
      <w:r>
        <w:t xml:space="preserve">backbones, with the section that reports each step.</w:t>
      </w:r>
    </w:p>
    <w:p>
      <w:pPr>
        <w:pStyle w:val="CaptionedFigure"/>
        <w:jc w:val="both"/>
      </w:pPr>
      <w:r>
        <w:drawing>
          <wp:inline>
            <wp:extent cx="5303520" cy="3723951"/>
            <wp:effectExtent b="0" l="0" r="0" t="0"/>
            <wp:docPr descr="Fig. 1. Audit workflow. Stage 1 (blue header) uses metadata only and gives verdicts exact given the declared sources D (RQ1); Stage 2 (orange headers) uses conformity scores from three backbones at feasible levels only (RQ2). Section numbers mark where each step is reported." title="" id="11" name="Picture"/>
            <a:graphic>
              <a:graphicData uri="http://schemas.openxmlformats.org/drawingml/2006/picture">
                <pic:pic>
                  <pic:nvPicPr>
                    <pic:cNvPr descr="figures/fig1_audit_workflow.png" id="12" name="Picture"/>
                    <pic:cNvPicPr>
                      <a:picLocks noChangeArrowheads="1" noChangeAspect="1"/>
                    </pic:cNvPicPr>
                  </pic:nvPicPr>
                  <pic:blipFill>
                    <a:blip r:embed="rId10"/>
                    <a:stretch>
                      <a:fillRect/>
                    </a:stretch>
                  </pic:blipFill>
                  <pic:spPr bwMode="auto">
                    <a:xfrm>
                      <a:off x="0" y="0"/>
                      <a:ext cx="5303520" cy="3723951"/>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gives verdicts exact given the declared sources</w:t>
      </w:r>
      <w:r>
        <w:t xml:space="preserve"> </w:t>
      </w:r>
      <m:oMath>
        <m:r>
          <m:t>D</m:t>
        </m:r>
      </m:oMath>
      <w:r>
        <w:t xml:space="preserve"> </w:t>
      </w:r>
      <w:r>
        <w:t xml:space="preserve">(RQ1); Stage 2 (orange headers) uses conformity scores from three backbones at feasible levels only (RQ2). Section numbers mark where each step is reported.</w:t>
      </w:r>
    </w:p>
    <w:p>
      <w:pPr>
        <w:pStyle w:val="BodyText"/>
        <w:jc w:val="both"/>
      </w:pPr>
      <w:r>
        <w:t xml:space="preserve">We propose no new conformal procedure; the contributions are three. First, we</w:t>
      </w:r>
      <w:r>
        <w:t xml:space="preserve"> </w:t>
      </w:r>
      <w:r>
        <w:t xml:space="preserve">carry the block-count requirement known for single groupings [13], [10] over to</w:t>
      </w:r>
      <w:r>
        <w:t xml:space="preserve"> </w:t>
      </w:r>
      <w:r>
        <w:t xml:space="preserve">the design of clinical ECG studies, as a metadata-only feasibility audit for HCP</w:t>
      </w:r>
      <w:r>
        <w:t xml:space="preserve"> </w:t>
      </w:r>
      <w:r>
        <w:t xml:space="preserve">(RQ1; §3, §5.1). Combined with the join of the declared dependence sources</w:t>
      </w:r>
      <w:r>
        <w:t xml:space="preserve"> </w:t>
      </w:r>
      <w:r>
        <w:t xml:space="preserve">(Proposition 2) and counted per diagnostic label (Proposition 3), the HCP bound</w:t>
      </w:r>
      <w:r>
        <w:t xml:space="preserve"> </w:t>
      </w:r>
      <w:r>
        <w:t xml:space="preserve">yields verdicts that are exact given the declared sources, before any model is</w:t>
      </w:r>
      <w:r>
        <w:t xml:space="preserve"> </w:t>
      </w:r>
      <w:r>
        <w:t xml:space="preserve">trained: all four documented PTB-XL sources together leave one admissible</w:t>
      </w:r>
      <w:r>
        <w:t xml:space="preserve"> </w:t>
      </w:r>
      <w:r>
        <w:t xml:space="preserve">calibration block, and under patient blocking 24 of 44 diagnostic SCP statements</w:t>
      </w:r>
      <w:r>
        <w:t xml:space="preserve"> </w:t>
      </w:r>
      <w:r>
        <w:t xml:space="preserve">lack a finite per-label threshold at</w:t>
      </w:r>
      <w:r>
        <w:t xml:space="preserve"> </w:t>
      </w:r>
      <m:oMath>
        <m:r>
          <m:t>α</m:t>
        </m:r>
        <m:r>
          <m:rPr>
            <m:sty m:val="p"/>
          </m:rPr>
          <m:t>=</m:t>
        </m:r>
        <m:r>
          <m:t>0.05</m:t>
        </m:r>
      </m:oMath>
      <w:r>
        <w:t xml:space="preserve"> </w:t>
      </w:r>
      <w:r>
        <w:t xml:space="preserve">even when all of fold 9 serves</w:t>
      </w:r>
      <w:r>
        <w:t xml:space="preserve"> </w:t>
      </w:r>
      <w:r>
        <w:t xml:space="preserve">for calibration. For MIT-BIH, an even split of the 22 evaluation subjects leaves</w:t>
      </w:r>
      <w:r>
        <w:t xml:space="preserve"> </w:t>
      </w:r>
      <w:r>
        <w:t xml:space="preserve">too few calibration blocks for a subject-level guarantee at the 95% level, in</w:t>
      </w:r>
      <w:r>
        <w:t xml:space="preserve"> </w:t>
      </w:r>
      <w:r>
        <w:t xml:space="preserve">line with Sim and Kim’s verdict for their own split [10].</w:t>
      </w:r>
    </w:p>
    <w:p>
      <w:pPr>
        <w:pStyle w:val="BodyText"/>
        <w:jc w:val="both"/>
      </w:pPr>
      <w:r>
        <w:t xml:space="preserve">Second, we attribute under-coverage to dependence acting through repetition</w:t>
      </w:r>
      <w:r>
        <w:t xml:space="preserve"> </w:t>
      </w:r>
      <w:r>
        <w:t xml:space="preserve">(RQ2; §5.2–§5.4). On the 22 MIT-BIH evaluation subjects, naive split conformal</w:t>
      </w:r>
      <w:r>
        <w:t xml:space="preserve"> </w:t>
      </w:r>
      <w:r>
        <w:t xml:space="preserve">covers less than a matched permutation null for every backbone and level; within</w:t>
      </w:r>
      <w:r>
        <w:t xml:space="preserve"> </w:t>
      </w:r>
      <w:r>
        <w:t xml:space="preserve">a factorial design the shortfall is attributed mainly to clustering, amplified by</w:t>
      </w:r>
      <w:r>
        <w:t xml:space="preserve"> </w:t>
      </w:r>
      <w:r>
        <w:t xml:space="preserve">block-size imbalance; and in a dose–response experiment within MIT-BIH it grows</w:t>
      </w:r>
      <w:r>
        <w:t xml:space="preserve"> </w:t>
      </w:r>
      <w:r>
        <w:t xml:space="preserve">with the design effect. PTB-XL stays near zero despite substantial within-patient</w:t>
      </w:r>
      <w:r>
        <w:t xml:space="preserve"> </w:t>
      </w:r>
      <w:r>
        <w:t xml:space="preserve">correlation, as the design effect predicts. With 22 subjects the deficit is not</w:t>
      </w:r>
      <w:r>
        <w:t xml:space="preserve"> </w:t>
      </w:r>
      <w:r>
        <w:t xml:space="preserve">resolved at the subject level, a limit on the evidence that mirrors the limit on</w:t>
      </w:r>
      <w:r>
        <w:t xml:space="preserve"> </w:t>
      </w:r>
      <w:r>
        <w:t xml:space="preserve">the guarantee. Third, we draw two cautions for evaluating conformal methods on</w:t>
      </w:r>
      <w:r>
        <w:t xml:space="preserve"> </w:t>
      </w:r>
      <w:r>
        <w:t xml:space="preserve">clustered data (§5.3, §6.2). Between 75% and 110% of the observed coverage gap</w:t>
      </w:r>
      <w:r>
        <w:t xml:space="preserve"> </w:t>
      </w:r>
      <w:r>
        <w:t xml:space="preserve">between HCP and naive split conformal persists when dependence is permuted away</w:t>
      </w:r>
      <w:r>
        <w:t xml:space="preserve"> </w:t>
      </w:r>
      <w:r>
        <w:t xml:space="preserve">while block geometry is preserved, so most of that gap is mechanical rather than</w:t>
      </w:r>
      <w:r>
        <w:t xml:space="preserve"> </w:t>
      </w:r>
      <w:r>
        <w:t xml:space="preserve">a correction for dependence; and repeated splits of a fixed set of subjects give</w:t>
      </w:r>
      <w:r>
        <w:t xml:space="preserve"> </w:t>
      </w:r>
      <w:r>
        <w:t xml:space="preserve">intervals for the split procedure rather than the population, which on MIT-BIH</w:t>
      </w:r>
      <w:r>
        <w:t xml:space="preserve"> </w:t>
      </w:r>
      <w:r>
        <w:t xml:space="preserve">exclude zero where a jackknife over subjects does not.</w:t>
      </w:r>
    </w:p>
    <w:p>
      <w:pPr>
        <w:pStyle w:val="BodyText"/>
        <w:jc w:val="both"/>
      </w:pPr>
      <w:r>
        <w:t xml:space="preserve">Every finding is checked across three backbones whose sizes differ more than a</w:t>
      </w:r>
      <w:r>
        <w:t xml:space="preserve"> </w:t>
      </w:r>
      <w:r>
        <w:t xml:space="preserve">hundredfold and across two checkpoints; resampling is always over blocks, and the</w:t>
      </w:r>
      <w:r>
        <w:t xml:space="preserve"> </w:t>
      </w:r>
      <w:r>
        <w:t xml:space="preserve">held-out PTB-XL fold remains unexamined. We keep three levels of evidence apart:</w:t>
      </w:r>
      <w:r>
        <w:t xml:space="preserve"> </w:t>
      </w:r>
      <w:r>
        <w:t xml:space="preserve">what is proved (Propositions 1–3 and Corollaries 1–2, exact given the declared</w:t>
      </w:r>
      <w:r>
        <w:t xml:space="preserve"> </w:t>
      </w:r>
      <w:r>
        <w:t xml:space="preserve">sources), what is observed on the audited records (§5.2–§5.5), and what is not</w:t>
      </w:r>
      <w:r>
        <w:t xml:space="preserve"> </w:t>
      </w:r>
      <w:r>
        <w:t xml:space="preserve">claimed, namely the population-level sign of the MIT-BIH deficit and a causal</w:t>
      </w:r>
      <w:r>
        <w:t xml:space="preserve"> </w:t>
      </w:r>
      <w:r>
        <w:t xml:space="preserve">role for the design effect. Code, per-result artifacts, the analysis</w:t>
      </w:r>
      <w:r>
        <w:t xml:space="preserve"> </w:t>
      </w:r>
      <w:r>
        <w:t xml:space="preserve">protocol and its deviation log are released with the paper. Section 2 reviews</w:t>
      </w:r>
      <w:r>
        <w:t xml:space="preserve"> </w:t>
      </w:r>
      <w:r>
        <w:t xml:space="preserve">related work, Section 3 derives the feasibility conditions, Section 4 describes</w:t>
      </w:r>
      <w:r>
        <w:t xml:space="preserve"> </w:t>
      </w:r>
      <w:r>
        <w:t xml:space="preserve">the design, and Sections 5 and 6 report and discuss the results.</w:t>
      </w:r>
    </w:p>
    <w:bookmarkEnd w:id="13"/>
    <w:bookmarkStart w:id="17" w:name="related-work"/>
    <w:p>
      <w:pPr>
        <w:pStyle w:val="Heading1"/>
      </w:pPr>
      <w:r>
        <w:t xml:space="preserve">2. Related Work</w:t>
      </w:r>
    </w:p>
    <w:bookmarkStart w:id="14"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coverage loss by the</w:t>
      </w:r>
      <w:r>
        <w:t xml:space="preserve"> </w:t>
      </w:r>
      <w:r>
        <w:t xml:space="preserve">total-variation distance to an exchangeable counterpart [11]; the bound is</w:t>
      </w:r>
      <w:r>
        <w:t xml:space="preserve"> </w:t>
      </w:r>
      <w:r>
        <w:t xml:space="preserve">agnostic to the cause and prescribes no remedy. Specific departures have been</w:t>
      </w:r>
      <w:r>
        <w:t xml:space="preserve"> </w:t>
      </w:r>
      <w:r>
        <w:t xml:space="preserve">handled one by one, namely covariate shift under known or estimable likelihood</w:t>
      </w:r>
      <w:r>
        <w:t xml:space="preserve"> </w:t>
      </w:r>
      <w:r>
        <w:t xml:space="preserve">ratios [17], spatial data [18] and network dependence [19]. Bhattacharyya and</w:t>
      </w:r>
      <w:r>
        <w:t xml:space="preserve"> </w:t>
      </w:r>
      <w:r>
        <w:t xml:space="preserve">Barber consider groups whose membership drives the shift [20], so exchangeability</w:t>
      </w:r>
      <w:r>
        <w:t xml:space="preserve"> </w:t>
      </w:r>
      <w:r>
        <w:t xml:space="preserve">still holds within each group; our setting is the reverse, with stable group</w:t>
      </w:r>
      <w:r>
        <w:t xml:space="preserve"> </w:t>
      </w:r>
      <w:r>
        <w:t xml:space="preserve">proportions but non-exchangeable observations within a block. Fontana et al.</w:t>
      </w:r>
      <w:r>
        <w:t xml:space="preserve"> </w:t>
      </w:r>
      <w:r>
        <w:t xml:space="preserve">review the framework and its variants, Mondrian conformal prediction included</w:t>
      </w:r>
      <w:r>
        <w:t xml:space="preserve"> </w:t>
      </w:r>
      <w:r>
        <w:t xml:space="preserve">[5].</w:t>
      </w:r>
    </w:p>
    <w:p>
      <w:pPr>
        <w:pStyle w:val="BodyText"/>
        <w:jc w:val="both"/>
      </w:pPr>
      <w:r>
        <w:t xml:space="preserve">For repeated measurements, Lee et al. formalized hierarchical exchangeability and</w:t>
      </w:r>
      <w:r>
        <w:t xml:space="preserve"> </w:t>
      </w:r>
      <w:r>
        <w:t xml:space="preserve">extended conformal prediction to it [12]; (1) and (2) restate their threshold and</w:t>
      </w:r>
      <w:r>
        <w:t xml:space="preserve"> </w:t>
      </w:r>
      <w:r>
        <w:t xml:space="preserve">guarantee, which we take as given. Their experiments use simulated data and a</w:t>
      </w:r>
      <w:r>
        <w:t xml:space="preserve"> </w:t>
      </w:r>
      <w:r>
        <w:t xml:space="preserve">Lorenz-96 system. Working independently, Dunn et al. developed conformal</w:t>
      </w:r>
      <w:r>
        <w:t xml:space="preserve"> </w:t>
      </w:r>
      <w:r>
        <w:t xml:space="preserve">constructions for two-layer hierarchical models, among them double conformal</w:t>
      </w:r>
      <w:r>
        <w:t xml:space="preserve"> </w:t>
      </w:r>
      <w:r>
        <w:t xml:space="preserve">prediction, CDF pooling and single and repeated subsampling, with and without</w:t>
      </w:r>
      <w:r>
        <w:t xml:space="preserve"> </w:t>
      </w:r>
      <w:r>
        <w:t xml:space="preserve">covariates, illustrated on simulations and on a sleep-deprivation study of 18</w:t>
      </w:r>
      <w:r>
        <w:t xml:space="preserve"> </w:t>
      </w:r>
      <w:r>
        <w:t xml:space="preserve">subjects [13]. Lee et al. leave open how study design affects inference, noting</w:t>
      </w:r>
      <w:r>
        <w:t xml:space="preserve"> </w:t>
      </w:r>
      <w:r>
        <w:t xml:space="preserve">that an analyst may trade many small groups against few large ones and that</w:t>
      </w:r>
      <w:r>
        <w:t xml:space="preserve"> </w:t>
      </w:r>
      <w:r>
        <w:rPr>
          <w:i/>
          <w:iCs/>
        </w:rPr>
        <w:t xml:space="preserve">characterizing the pros and cons of this tradeoff is an important question to</w:t>
      </w:r>
      <w:r>
        <w:rPr>
          <w:i/>
          <w:iCs/>
        </w:rPr>
        <w:t xml:space="preserve"> </w:t>
      </w:r>
      <w:r>
        <w:rPr>
          <w:i/>
          <w:iCs/>
        </w:rPr>
        <w:t xml:space="preserve">determine how study design affects inference in this distribution-free setting</w:t>
      </w:r>
      <w:r>
        <w:t xml:space="preserve"> </w:t>
      </w:r>
      <w:r>
        <w:t xml:space="preserve">[12].</w:t>
      </w:r>
    </w:p>
    <w:bookmarkEnd w:id="14"/>
    <w:bookmarkStart w:id="15" w:name="group-counts-and-clustered-thresholds"/>
    <w:p>
      <w:pPr>
        <w:pStyle w:val="Heading2"/>
      </w:pPr>
      <w:r>
        <w:t xml:space="preserve">2.2 Group counts and clustered thresholds</w:t>
      </w:r>
    </w:p>
    <w:p>
      <w:pPr>
        <w:pStyle w:val="FirstParagraph"/>
        <w:jc w:val="both"/>
      </w:pPr>
      <w:r>
        <w:t xml:space="preserve">That the number of independent units, not of observations, limits a</w:t>
      </w:r>
      <w:r>
        <w:t xml:space="preserve"> </w:t>
      </w:r>
      <w:r>
        <w:t xml:space="preserve">distribution-free guarantee is already established. Dunn et al. state, for each</w:t>
      </w:r>
      <w:r>
        <w:t xml:space="preserve"> </w:t>
      </w:r>
      <w:r>
        <w:t xml:space="preserve">of their finite-sample constructions, how many groups non-trivial prediction</w:t>
      </w:r>
      <w:r>
        <w:t xml:space="preserve"> </w:t>
      </w:r>
      <w:r>
        <w:t xml:space="preserve">sets require, between</w:t>
      </w:r>
      <w:r>
        <w:t xml:space="preserve"> </w:t>
      </w:r>
      <m:oMath>
        <m:r>
          <m:t>1</m:t>
        </m:r>
        <m:r>
          <m:rPr>
            <m:sty m:val="p"/>
          </m:rPr>
          <m:t>/</m:t>
        </m:r>
        <m:r>
          <m:t>α</m:t>
        </m:r>
        <m:r>
          <m:rPr>
            <m:sty m:val="p"/>
          </m:rPr>
          <m:t>−</m:t>
        </m:r>
        <m:r>
          <m:t>1</m:t>
        </m:r>
      </m:oMath>
      <w:r>
        <w:t xml:space="preserve"> </w:t>
      </w:r>
      <w:r>
        <w:t xml:space="preserve">and</w:t>
      </w:r>
      <w:r>
        <w:t xml:space="preserve"> </w:t>
      </w:r>
      <m:oMath>
        <m:r>
          <m:t>4</m:t>
        </m:r>
        <m:r>
          <m:rPr>
            <m:sty m:val="p"/>
          </m:rPr>
          <m:t>/</m:t>
        </m:r>
        <m:r>
          <m:t>α</m:t>
        </m:r>
        <m:r>
          <m:rPr>
            <m:sty m:val="p"/>
          </m:rPr>
          <m:t>−</m:t>
        </m:r>
        <m:r>
          <m:t>1</m:t>
        </m:r>
      </m:oMath>
      <w:r>
        <w:t xml:space="preserve"> </w:t>
      </w:r>
      <w:r>
        <w:t xml:space="preserve">depending on the</w:t>
      </w:r>
      <w:r>
        <w:t xml:space="preserve"> </w:t>
      </w:r>
      <w:r>
        <w:t xml:space="preserve">construction [13]. For ECG monitoring, Sim and Kim show that the false-alarm</w:t>
      </w:r>
      <w:r>
        <w:t xml:space="preserve"> </w:t>
      </w:r>
      <w:r>
        <w:t xml:space="preserve">guarantee of split conformal prediction counts exchangeable subjects rather than</w:t>
      </w:r>
      <w:r>
        <w:t xml:space="preserve"> </w:t>
      </w:r>
      <w:r>
        <w:t xml:space="preserve">beats, give the minimum of</w:t>
      </w:r>
      <w:r>
        <w:t xml:space="preserve"> </w:t>
      </w:r>
      <m:oMath>
        <m:r>
          <m:t>1</m:t>
        </m:r>
        <m:r>
          <m:rPr>
            <m:sty m:val="p"/>
          </m:rPr>
          <m:t>/</m:t>
        </m:r>
        <m:r>
          <m:t>α</m:t>
        </m:r>
        <m:r>
          <m:rPr>
            <m:sty m:val="p"/>
          </m:rPr>
          <m:t>−</m:t>
        </m:r>
        <m:r>
          <m:t>1</m:t>
        </m:r>
      </m:oMath>
      <w:r>
        <w:t xml:space="preserve"> </w:t>
      </w:r>
      <w:r>
        <w:t xml:space="preserve">calibration subjects (19 at</w:t>
      </w:r>
      <w:r>
        <w:t xml:space="preserve"> </w:t>
      </w:r>
      <m:oMath>
        <m:r>
          <m:t>α</m:t>
        </m:r>
        <m:r>
          <m:rPr>
            <m:sty m:val="p"/>
          </m:rPr>
          <m:t>=</m:t>
        </m:r>
        <m:r>
          <m:t>0.05</m:t>
        </m:r>
      </m:oMath>
      <w:r>
        <w:t xml:space="preserve">), decline a subject-level threshold for MIT-BIH because their split</w:t>
      </w:r>
      <w:r>
        <w:t xml:space="preserve"> </w:t>
      </w:r>
      <w:r>
        <w:t xml:space="preserve">leaves too few calibration subjects, and show that a beat-calibrated threshold</w:t>
      </w:r>
      <w:r>
        <w:t xml:space="preserve"> </w:t>
      </w:r>
      <w:r>
        <w:t xml:space="preserve">used for patient-level alarms exceeds its nominal false-alarm rate [10]. On the</w:t>
      </w:r>
      <w:r>
        <w:t xml:space="preserve"> </w:t>
      </w:r>
      <w:r>
        <w:t xml:space="preserve">precision side, Noonan derives a large-sample variance for the coverage of a</w:t>
      </w:r>
      <w:r>
        <w:t xml:space="preserve"> </w:t>
      </w:r>
      <w:r>
        <w:t xml:space="preserve">threshold estimated from clustered data, in which the relevant correlation is</w:t>
      </w:r>
      <w:r>
        <w:t xml:space="preserve"> </w:t>
      </w:r>
      <w:r>
        <w:t xml:space="preserve">that of the exceedance indicator rather than of the score and can change with the</w:t>
      </w:r>
      <w:r>
        <w:t xml:space="preserve"> </w:t>
      </w:r>
      <w:r>
        <w:t xml:space="preserve">target level [21].</w:t>
      </w:r>
    </w:p>
    <w:p>
      <w:pPr>
        <w:pStyle w:val="BodyText"/>
        <w:jc w:val="both"/>
      </w:pPr>
      <w:r>
        <w:t xml:space="preserve">These results are stated for one grouping at a time. They do not ask which</w:t>
      </w:r>
      <w:r>
        <w:t xml:space="preserve"> </w:t>
      </w:r>
      <w:r>
        <w:t xml:space="preserve">grouping a clinical dataset admits when several dependence sources are declared,</w:t>
      </w:r>
      <w:r>
        <w:t xml:space="preserve"> </w:t>
      </w:r>
      <w:r>
        <w:t xml:space="preserve">how the count behaves per diagnostic label, or how much of an observed coverage</w:t>
      </w:r>
      <w:r>
        <w:t xml:space="preserve"> </w:t>
      </w:r>
      <w:r>
        <w:t xml:space="preserve">gap reflects dependence rather than the construction of the method.</w:t>
      </w:r>
    </w:p>
    <w:bookmarkEnd w:id="15"/>
    <w:bookmarkStart w:id="16" w:name="Xde641f5d420a891fdb073e7aa4fa0944e53f724"/>
    <w:p>
      <w:pPr>
        <w:pStyle w:val="Heading2"/>
      </w:pPr>
      <w:r>
        <w:t xml:space="preserve">2.3 Multi-label, clinical and ECG applications</w:t>
      </w:r>
    </w:p>
    <w:p>
      <w:pPr>
        <w:pStyle w:val="FirstParagraph"/>
        <w:jc w:val="both"/>
      </w:pPr>
      <w:r>
        <w:t xml:space="preserve">Multi-label conformal methods, surveyed by Papadopoulos [22], model dependence</w:t>
      </w:r>
      <w:r>
        <w:t xml:space="preserve"> </w:t>
      </w:r>
      <w:r>
        <w:t xml:space="preserve">among labels but assume exchangeable samples, the converse of our need. Baheri</w:t>
      </w:r>
      <w:r>
        <w:t xml:space="preserve"> </w:t>
      </w:r>
      <w:r>
        <w:t xml:space="preserve">and Shahbazi calibrate at several levels of a label hierarchy and intersect the</w:t>
      </w:r>
      <w:r>
        <w:t xml:space="preserve"> </w:t>
      </w:r>
      <w:r>
        <w:t xml:space="preserve">sets [23], exploiting structure among labels; here the hierarchy only serves to</w:t>
      </w:r>
      <w:r>
        <w:t xml:space="preserve"> </w:t>
      </w:r>
      <w:r>
        <w:t xml:space="preserve">count calibration blocks per label (§3.4).</w:t>
      </w:r>
    </w:p>
    <w:p>
      <w:pPr>
        <w:pStyle w:val="BodyText"/>
        <w:jc w:val="both"/>
      </w:pPr>
      <w:r>
        <w:t xml:space="preserve">Strodthoff et al. set the PTB-XL benchmarks [1] for the dataset of [2], [14],</w:t>
      </w:r>
      <w:r>
        <w:t xml:space="preserve"> </w:t>
      </w:r>
      <w:r>
        <w:t xml:space="preserve">and their residual networks guide our choice of backbones. Beat-level evaluation</w:t>
      </w:r>
      <w:r>
        <w:t xml:space="preserve"> </w:t>
      </w:r>
      <w:r>
        <w:t xml:space="preserve">follows the inter-patient protocol, under which no subject appears in both</w:t>
      </w:r>
      <w:r>
        <w:t xml:space="preserve"> </w:t>
      </w:r>
      <w:r>
        <w:t xml:space="preserve">training and evaluation [24], [25], since mixing them inflates reported</w:t>
      </w:r>
      <w:r>
        <w:t xml:space="preserve"> </w:t>
      </w:r>
      <w:r>
        <w:t xml:space="preserve">performance [26]. Clinical uses of conformal prediction are surveyed in [6], and</w:t>
      </w:r>
      <w:r>
        <w:t xml:space="preserve"> </w:t>
      </w:r>
      <w:r>
        <w:t xml:space="preserve">conformal risk control [27] and time-series conformal prediction [28] extend the</w:t>
      </w:r>
      <w:r>
        <w:t xml:space="preserve"> </w:t>
      </w:r>
      <w:r>
        <w:t xml:space="preserve">framework to arbitrary losses and temporal data. On patient-disjoint PTB-XL</w:t>
      </w:r>
      <w:r>
        <w:t xml:space="preserve"> </w:t>
      </w:r>
      <w:r>
        <w:t xml:space="preserve">partitions, El Allam and Hamlich apply label-conditional Mondrian calibration</w:t>
      </w:r>
      <w:r>
        <w:t xml:space="preserve"> </w:t>
      </w:r>
      <w:r>
        <w:t xml:space="preserve">and find that it must be redone for the quantized model actually deployed [7];</w:t>
      </w:r>
      <w:r>
        <w:t xml:space="preserve"> </w:t>
      </w:r>
      <w:r>
        <w:t xml:space="preserve">they also bring conformal inference to wearables at the edge [8]. For PPG-based</w:t>
      </w:r>
      <w:r>
        <w:t xml:space="preserve"> </w:t>
      </w:r>
      <w:r>
        <w:t xml:space="preserve">arrhythmia classification in intensive care, Kinalioğlu finds that marginal</w:t>
      </w:r>
      <w:r>
        <w:t xml:space="preserve"> </w:t>
      </w:r>
      <w:r>
        <w:t xml:space="preserve">coverage can hide class- and patient-level failures [9]. Beyond cardiology,</w:t>
      </w:r>
      <w:r>
        <w:t xml:space="preserve"> </w:t>
      </w:r>
      <w:r>
        <w:t xml:space="preserve">calibration that respects groups has been used for patients nested in thousands</w:t>
      </w:r>
      <w:r>
        <w:t xml:space="preserve"> </w:t>
      </w:r>
      <w:r>
        <w:t xml:space="preserve">of hospitals [29].</w:t>
      </w:r>
    </w:p>
    <w:p>
      <w:pPr>
        <w:pStyle w:val="BodyText"/>
        <w:jc w:val="both"/>
      </w:pPr>
      <w:r>
        <w:rPr>
          <w:b/>
          <w:bCs/>
        </w:rPr>
        <w:t xml:space="preserve">Position of this study.</w:t>
      </w:r>
      <w:r>
        <w:t xml:space="preserve"> </w:t>
      </w:r>
      <w:r>
        <w:t xml:space="preserve">We take the threshold and guarantee of HCP [12] and</w:t>
      </w:r>
      <w:r>
        <w:t xml:space="preserve"> </w:t>
      </w:r>
      <w:r>
        <w:t xml:space="preserve">the principle that independent units must be counted [13], [10] as given. What</w:t>
      </w:r>
      <w:r>
        <w:t xml:space="preserve"> </w:t>
      </w:r>
      <w:r>
        <w:t xml:space="preserve">we add is their application at the design stage of clinical ECG studies: the join</w:t>
      </w:r>
      <w:r>
        <w:t xml:space="preserve"> </w:t>
      </w:r>
      <w:r>
        <w:t xml:space="preserve">of crossed dependence sources as the finest admissible calibration grouping</w:t>
      </w:r>
      <w:r>
        <w:t xml:space="preserve"> </w:t>
      </w:r>
      <w:r>
        <w:t xml:space="preserve">(Proposition 2), the block count per diagnostic label (Proposition 3), both</w:t>
      </w:r>
      <w:r>
        <w:t xml:space="preserve"> </w:t>
      </w:r>
      <w:r>
        <w:t xml:space="preserve">evaluated from metadata on three ECG resources, and an empirical decomposition of</w:t>
      </w:r>
      <w:r>
        <w:t xml:space="preserve"> </w:t>
      </w:r>
      <w:r>
        <w:t xml:space="preserve">the coverage gap of naive split conformal prediction with a matched permutation</w:t>
      </w:r>
      <w:r>
        <w:t xml:space="preserve"> </w:t>
      </w:r>
      <w:r>
        <w:t xml:space="preserve">null, a factorial design and a dose–response experiment, which separates</w:t>
      </w:r>
      <w:r>
        <w:t xml:space="preserve"> </w:t>
      </w:r>
      <w:r>
        <w:t xml:space="preserve">dependence from the mechanical effect of the finite-block correction.</w:t>
      </w:r>
    </w:p>
    <w:bookmarkEnd w:id="16"/>
    <w:bookmarkEnd w:id="17"/>
    <w:bookmarkStart w:id="25" w:name="problem-formulation-and-hcp-feasibility"/>
    <w:p>
      <w:pPr>
        <w:pStyle w:val="Heading1"/>
      </w:pPr>
      <w:r>
        <w:t xml:space="preserve">3. Problem Formulation and HCP Feasibility</w:t>
      </w:r>
    </w:p>
    <w:p>
      <w:pPr>
        <w:pStyle w:val="FirstParagraph"/>
        <w:jc w:val="both"/>
      </w:pPr>
      <w:r>
        <w:t xml:space="preserve">Section 3.1 restates the notation of Lee et al. [12]; §3.2–§3.4 derive three</w:t>
      </w:r>
      <w:r>
        <w:t xml:space="preserve"> </w:t>
      </w:r>
      <w:r>
        <w:t xml:space="preserve">feasibility diagnostics from established results, each cited where it is used.</w:t>
      </w:r>
    </w:p>
    <w:bookmarkStart w:id="18" w:name="hierarchical-calibration"/>
    <w:p>
      <w:pPr>
        <w:pStyle w:val="Heading2"/>
      </w:pPr>
      <w:r>
        <w:t xml:space="preserve">3.1 Hierarchical calibration</w:t>
      </w:r>
    </w:p>
    <w:p>
      <w:pPr>
        <w:pStyle w:val="FirstParagraph"/>
        <w:jc w:val="both"/>
      </w:pPr>
      <w:r>
        <w:t xml:space="preserve">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Here a block is usually a patient and an observation</w:t>
      </w:r>
      <w:r>
        <w:t xml:space="preserve"> </w:t>
      </w:r>
      <w:r>
        <w:t xml:space="preserve">a 10-second recording, though the framework does not depend on that choice.</w:t>
      </w:r>
      <w:r>
        <w:t xml:space="preserve"> </w:t>
      </w:r>
      <w:r>
        <w:t xml:space="preserve">Nesting breaks ordinary exchangeability, and Lee et al. [12] replace it with</w:t>
      </w:r>
      <w:r>
        <w:t xml:space="preserve"> </w:t>
      </w:r>
      <w:r>
        <w:t xml:space="preserve">hierarchical exchangeability: blocks are exchangeable among themselves and</w:t>
      </w:r>
      <w:r>
        <w:t xml:space="preserve"> </w:t>
      </w:r>
      <w:r>
        <w:t xml:space="preserve">observations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Of the</w:t>
      </w:r>
      <w:r>
        <w:t xml:space="preserve"> </w:t>
      </w:r>
      <m:oMath>
        <m:r>
          <m:t>K</m:t>
        </m:r>
      </m:oMath>
      <w:r>
        <w:t xml:space="preserve"> </w:t>
      </w:r>
      <w:r>
        <w:t xml:space="preserve">blocks,</w:t>
      </w:r>
      <w:r>
        <w:t xml:space="preserve"> </w:t>
      </w:r>
      <m:oMath>
        <m:sSub>
          <m:e>
            <m:r>
              <m:t>K</m:t>
            </m:r>
          </m:e>
          <m:sub>
            <m:r>
              <m:t>1</m:t>
            </m:r>
          </m:sub>
        </m:sSub>
      </m:oMath>
      <w:r>
        <w:t xml:space="preserve"> </w:t>
      </w:r>
      <w:r>
        <w:t xml:space="preserve">are held out as calibration blocks. For a target miscoverage</w:t>
      </w:r>
      <w:r>
        <w:t xml:space="preserve"> </w:t>
      </w:r>
      <m:oMath>
        <m:r>
          <m:t>α</m:t>
        </m:r>
        <m:r>
          <m:rPr>
            <m:sty m:val="p"/>
          </m:rPr>
          <m:t>∈</m:t>
        </m:r>
        <m:r>
          <m:rPr>
            <m:sty m:val="p"/>
          </m:rPr>
          <m:t>(</m:t>
        </m:r>
        <m:r>
          <m:t>0</m:t>
        </m:r>
        <m:r>
          <m:rPr>
            <m:sty m:val="p"/>
          </m:rPr>
          <m:t>,</m:t>
        </m:r>
        <m:r>
          <m:t>1</m:t>
        </m:r>
        <m:r>
          <m:rPr>
            <m:sty m:val="p"/>
          </m:rPr>
          <m:t>)</m:t>
        </m:r>
      </m:oMath>
      <w:r>
        <w:t xml:space="preserve">,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receives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w:t>
      </w:r>
      <w:r>
        <w:t xml:space="preserve"> </w:t>
      </w:r>
      <w:r>
        <w:t xml:space="preserve">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the price of not knowing which block</w:t>
      </w:r>
      <w:r>
        <w:t xml:space="preserve"> </w:t>
      </w:r>
      <w:r>
        <w:t xml:space="preserve">the test point comes from. The prediction set is</w:t>
      </w:r>
      <w:r>
        <w:t xml:space="preserve"> </w:t>
      </w:r>
      <m:oMath>
        <m:acc>
          <m:accPr>
            <m:chr m:val="̂"/>
          </m:accPr>
          <m:e>
            <m:r>
              <m:t>C</m:t>
            </m:r>
          </m:e>
        </m:acc>
        <m:r>
          <m:rPr>
            <m:sty m:val="p"/>
          </m:rPr>
          <m:t>(</m:t>
        </m:r>
        <m:r>
          <m:t>x</m:t>
        </m:r>
        <m:r>
          <m:rPr>
            <m:sty m:val="p"/>
          </m:rPr>
          <m:t>)</m:t>
        </m:r>
        <m:r>
          <m:rPr>
            <m:sty m:val="p"/>
          </m:rPr>
          <m:t>=</m:t>
        </m:r>
        <m:r>
          <m:rPr>
            <m:sty m:val="p"/>
          </m:rPr>
          <m:t>{</m:t>
        </m:r>
        <m:r>
          <m:t>y</m:t>
        </m:r>
        <m:r>
          <m:rPr>
            <m:sty m:val="p"/>
          </m:rPr>
          <m:t>∈</m:t>
        </m:r>
        <m:r>
          <m:rPr>
            <m:scr m:val="script"/>
            <m:sty m:val="p"/>
          </m:rPr>
          <m:t>L</m:t>
        </m:r>
        <m:r>
          <m:rPr>
            <m:sty m:val="p"/>
          </m:rPr>
          <m:t>:</m:t>
        </m:r>
        <m:r>
          <m:t>s</m:t>
        </m:r>
        <m:r>
          <m:rPr>
            <m:sty m:val="p"/>
          </m:rPr>
          <m:t>(</m:t>
        </m:r>
        <m:r>
          <m:t>x</m:t>
        </m:r>
        <m:r>
          <m:rPr>
            <m:sty m:val="p"/>
          </m:rPr>
          <m:t>,</m:t>
        </m:r>
        <m:r>
          <m:t>y</m:t>
        </m:r>
        <m:r>
          <m:rPr>
            <m:sty m:val="p"/>
          </m:rPr>
          <m:t>)</m:t>
        </m:r>
        <m:r>
          <m:rPr>
            <m:sty m:val="p"/>
          </m:rPr>
          <m:t>≤</m:t>
        </m:r>
        <m:acc>
          <m:accPr>
            <m:chr m:val="̂"/>
          </m:accPr>
          <m:e>
            <m:r>
              <m:t>T</m:t>
            </m:r>
          </m:e>
        </m:acc>
        <m:r>
          <m:rPr>
            <m:sty m:val="p"/>
          </m:rPr>
          <m:t>}</m:t>
        </m:r>
      </m:oMath>
      <w:r>
        <w:t xml:space="preserve"> </w:t>
      </w:r>
      <w:r>
        <w:t xml:space="preserve">for a label set</w:t>
      </w:r>
      <w:r>
        <w:t xml:space="preserve"> </w:t>
      </w:r>
      <m:oMath>
        <m:r>
          <m:rPr>
            <m:scr m:val="script"/>
            <m:sty m:val="p"/>
          </m:rPr>
          <m:t>L</m:t>
        </m:r>
      </m:oMath>
      <w:r>
        <w:t xml:space="preserve">. For a</w:t>
      </w:r>
      <w:r>
        <w:t xml:space="preserve"> </w:t>
      </w:r>
      <w:r>
        <w:t xml:space="preserve">test point from a new block, Lee et al. [12, Th. 1] establish the lower bound</w:t>
      </w:r>
      <w:r>
        <w:t xml:space="preserve"> </w:t>
      </w:r>
      <w:r>
        <w:t xml:space="preserve">in (2); the upper bound holds under the additional condition that the scores are</w:t>
      </w:r>
      <w:r>
        <w:t xml:space="preserve"> </w:t>
      </w:r>
      <w:r>
        <w:t xml:space="preserve">distinct almost surely:</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8"/>
    <w:bookmarkStart w:id="19" w:name="finite-threshold-feasibility"/>
    <w:p>
      <w:pPr>
        <w:pStyle w:val="Heading2"/>
      </w:pPr>
      <w:r>
        <w:t xml:space="preserve">3.2 Finite-threshold feasibility</w:t>
      </w:r>
    </w:p>
    <w:p>
      <w:pPr>
        <w:pStyle w:val="FirstParagraph"/>
        <w:jc w:val="both"/>
      </w:pPr>
      <w:r>
        <w:t xml:space="preserve">Given</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(1) fixes the threshold but not whether the</w:t>
      </w:r>
      <w:r>
        <w:t xml:space="preserve"> </w:t>
      </w:r>
      <w:r>
        <w:t xml:space="preserve">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only</w:t>
      </w:r>
      <w:r>
        <w:t xml:space="preserve"> </w:t>
      </w:r>
      <w:r>
        <w:t xml:space="preserve">vacuously. Proposition 1 follows directly from the threshold definition of [12],</w:t>
      </w:r>
      <w:r>
        <w:t xml:space="preserve"> </w:t>
      </w:r>
      <w:r>
        <w:t xml:space="preserve">restated as (1), where it is implicit rather than stated; we make it explicit because it can</w:t>
      </w:r>
      <w:r>
        <w:t xml:space="preserve"> </w:t>
      </w:r>
      <w:r>
        <w:t xml:space="preserve">be checked from metadata, and we write</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the smallest</w:t>
      </w:r>
      <w:r>
        <w:t xml:space="preserve"> </w:t>
      </w:r>
      <w:r>
        <w:t xml:space="preserve">attainable level. Three properties matter.</w:t>
      </w:r>
      <w:r>
        <w:t xml:space="preserve"> </w:t>
      </w:r>
      <m:oMath>
        <m:sSub>
          <m:e>
            <m:r>
              <m:t>N</m:t>
            </m:r>
          </m:e>
          <m:sub>
            <m:r>
              <m:t>k</m:t>
            </m:r>
          </m:sub>
        </m:sSub>
      </m:oMath>
      <w:r>
        <w:t xml:space="preserve"> </w:t>
      </w:r>
      <w:r>
        <w:t xml:space="preserve">is absent from the bound, so</w:t>
      </w:r>
      <w:r>
        <w:t xml:space="preserve"> </w:t>
      </w:r>
      <w:r>
        <w:t xml:space="preserve">adding measurements to existing blocks never restores feasibility; the inequality</w:t>
      </w:r>
      <w:r>
        <w:t xml:space="preserve"> </w:t>
      </w:r>
      <w:r>
        <w:t xml:space="preserve">is not strict, so a grouping exactly on the boundary is feasible (Appendix A.1);</w:t>
      </w:r>
      <w:r>
        <w:t xml:space="preserve"> </w:t>
      </w:r>
      <w:r>
        <w:t xml:space="preserve">and with</w:t>
      </w:r>
      <w:r>
        <w:t xml:space="preserve"> </w:t>
      </w:r>
      <m:oMath>
        <m:sSub>
          <m:e>
            <m:r>
              <m:t>N</m:t>
            </m:r>
          </m:e>
          <m:sub>
            <m:r>
              <m:t>k</m:t>
            </m:r>
          </m:sub>
        </m:sSub>
        <m:r>
          <m:rPr>
            <m:sty m:val="p"/>
          </m:rPr>
          <m:t>=</m:t>
        </m:r>
        <m:r>
          <m:t>1</m:t>
        </m:r>
      </m:oMath>
      <w:r>
        <w:t xml:space="preserve"> </w:t>
      </w:r>
      <w:r>
        <w:t xml:space="preserve">throughout, the bound reduces to the split-conformal condition</w:t>
      </w:r>
      <w:r>
        <w:t xml:space="preserve"> </w:t>
      </w:r>
      <m:oMath>
        <m:r>
          <m:t>n</m:t>
        </m:r>
        <m:r>
          <m:rPr>
            <m:sty m:val="p"/>
          </m:rPr>
          <m:t>≥</m:t>
        </m:r>
        <m:r>
          <m:t>1</m:t>
        </m:r>
        <m:r>
          <m:rPr>
            <m:sty m:val="p"/>
          </m:rPr>
          <m:t>/</m:t>
        </m:r>
        <m:r>
          <m:t>α</m:t>
        </m:r>
        <m:r>
          <m:rPr>
            <m:sty m:val="p"/>
          </m:rPr>
          <m:t>−</m:t>
        </m:r>
        <m:r>
          <m:t>1</m:t>
        </m:r>
      </m:oMath>
      <w:r>
        <w:t xml:space="preserve">, which we 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t xml:space="preserve">For subject-level split conformal prediction, where each subject is one</w:t>
      </w:r>
      <w:r>
        <w:t xml:space="preserve"> </w:t>
      </w:r>
      <w:r>
        <w:t xml:space="preserve">exchangeable unit, Sim and Kim give the same count of 19 at</w:t>
      </w:r>
      <w:r>
        <w:t xml:space="preserve"> </w:t>
      </w:r>
      <m:oMath>
        <m:r>
          <m:t>α</m:t>
        </m:r>
        <m:r>
          <m:rPr>
            <m:sty m:val="p"/>
          </m:rPr>
          <m:t>=</m:t>
        </m:r>
        <m:r>
          <m:t>0.05</m:t>
        </m:r>
      </m:oMath>
      <w:r>
        <w:t xml:space="preserve"> </w:t>
      </w:r>
      <w:r>
        <w:t xml:space="preserve">[10],</w:t>
      </w:r>
      <w:r>
        <w:t xml:space="preserve"> </w:t>
      </w:r>
      <w:r>
        <w:t xml:space="preserve">and Dunn et al. state comparable group counts for their constructions [13]. For</w:t>
      </w:r>
      <w:r>
        <w:t xml:space="preserve"> </w:t>
      </w:r>
      <w:r>
        <w:t xml:space="preserve">HCP the count holds whatever the block sizes, because</w:t>
      </w:r>
      <w:r>
        <w:t xml:space="preserve"> </w:t>
      </w:r>
      <m:oMath>
        <m:sSub>
          <m:e>
            <m:r>
              <m:t>N</m:t>
            </m:r>
          </m:e>
          <m:sub>
            <m:r>
              <m:t>k</m:t>
            </m:r>
          </m:sub>
        </m:sSub>
      </m:oMath>
      <w:r>
        <w:t xml:space="preserve"> </w:t>
      </w:r>
      <w:r>
        <w:t xml:space="preserve">does not enter (3).</w:t>
      </w:r>
    </w:p>
    <w:p>
      <w:pPr>
        <w:pStyle w:val="BodyText"/>
        <w:jc w:val="both"/>
      </w:pPr>
      <w:r>
        <w:rPr>
          <w:b/>
          <w:bCs/>
        </w:rPr>
        <w:t xml:space="preserve">Precision.</w:t>
      </w:r>
      <w:r>
        <w:t xml:space="preserve"> </w:t>
      </w:r>
      <w:r>
        <w:t xml:space="preserve">Unlike feasibility, precision needs distributional assumptions,</w:t>
      </w:r>
      <w:r>
        <w:t xml:space="preserve"> </w:t>
      </w:r>
      <w:r>
        <w:t xml:space="preserve">namely Assumption (A): blocks are independent and identically distributed,</w:t>
      </w:r>
      <w:r>
        <w:t xml:space="preserve"> </w:t>
      </w:r>
      <w:r>
        <w:t xml:space="preserve">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 symmetry), so</w:t>
      </w:r>
      <w:r>
        <w:t xml:space="preserve"> </w:t>
      </w:r>
      <m:oMath>
        <m:r>
          <m:t>ρ</m:t>
        </m:r>
        <m:r>
          <m:rPr>
            <m:sty m:val="p"/>
          </m:rPr>
          <m:t>(</m:t>
        </m:r>
        <m:r>
          <m:t>t</m:t>
        </m:r>
        <m:r>
          <m:rPr>
            <m:sty m:val="p"/>
          </m:rPr>
          <m:t>)</m:t>
        </m:r>
      </m:oMath>
      <w:r>
        <w:t xml:space="preserve"> </w:t>
      </w:r>
      <w:r>
        <w:t xml:space="preserve">is the</w:t>
      </w:r>
      <w:r>
        <w:t xml:space="preserve"> </w:t>
      </w:r>
      <w:r>
        <w:t xml:space="preserve">intraclass correlation of the indicator, not of the raw score. The HCP threshold</w:t>
      </w:r>
      <w:r>
        <w:t xml:space="preserve"> </w:t>
      </w:r>
      <w:r>
        <w:t xml:space="preserve">is a 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w:t>
      </w:r>
      <w:r>
        <w:t xml:space="preserve"> </w:t>
      </w:r>
      <w:r>
        <w:t xml:space="preserve">average of block-level empirical CDFs, whose variance under (A) is the textbook</w:t>
      </w:r>
      <w:r>
        <w:t xml:space="preserve"> </w:t>
      </w:r>
      <w:r>
        <w:t xml:space="preserve">expression for an unweighted mean of cluster means [30],</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block-weighted design effect and the observation-weighted</w:t>
      </w:r>
      <w:r>
        <w:t xml:space="preserve"> </w:t>
      </w:r>
      <w:r>
        <w:t xml:space="preserve">one behind the Kish effective sample size agree only for equal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is the usual design effect for unequal clusters; for the coverage of a</w:t>
      </w:r>
      <w:r>
        <w:t xml:space="preserve"> </w:t>
      </w:r>
      <w:r>
        <w:t xml:space="preserve">pooled threshold it takes the same form with the indicator correlation in place of</w:t>
      </w:r>
      <w:r>
        <w:t xml:space="preserve"> </w:t>
      </w:r>
      <m:oMath>
        <m:r>
          <m:t>ρ</m:t>
        </m:r>
      </m:oMath>
      <w:r>
        <w:t xml:space="preserve"> </w:t>
      </w:r>
      <w:r>
        <w:t xml:space="preserve">[21]. Cluster-randomized</w:t>
      </w:r>
      <w:r>
        <w:t xml:space="preserve"> </w:t>
      </w:r>
      <w:r>
        <w:t xml:space="preserve">trials usually replace equal weighting of cluster means with minimum-variance</w:t>
      </w:r>
      <w:r>
        <w:t xml:space="preserve"> </w:t>
      </w:r>
      <w:r>
        <w:t xml:space="preserve">weights [31], [32]; in HCP equal weighting is built into the threshold, and</w:t>
      </w:r>
      <w:r>
        <w:t xml:space="preserve"> </w:t>
      </w:r>
      <w:r>
        <w:t xml:space="preserve">dropping it can invalidate the guarantee (Appendix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which predicts no harm</w:t>
      </w:r>
      <w:r>
        <w:t xml:space="preserve"> </w:t>
      </w:r>
      <w:r>
        <w:t xml:space="preserve">from dependence when blocks are near singletons, however strong the within-block</w:t>
      </w:r>
      <w:r>
        <w:t xml:space="preserve"> </w:t>
      </w:r>
      <w:r>
        <w:t xml:space="preserve">correlation. The axis is a heuristic under (A) for ranking configurations, not a</w:t>
      </w:r>
      <w:r>
        <w:t xml:space="preserve"> </w:t>
      </w:r>
      <w:r>
        <w:t xml:space="preserve">calibrated effective sample size. Noonan derives a large-sample variance for the</w:t>
      </w:r>
      <w:r>
        <w:t xml:space="preserve"> </w:t>
      </w:r>
      <w:r>
        <w:t xml:space="preserve">coverage of a threshold estimated from clustered data, in which the relevant</w:t>
      </w:r>
      <w:r>
        <w:t xml:space="preserve"> </w:t>
      </w:r>
      <w:r>
        <w:t xml:space="preserve">correlation is that of the exceedance indicator rather than of the score and can</w:t>
      </w:r>
      <w:r>
        <w:t xml:space="preserve"> </w:t>
      </w:r>
      <w:r>
        <w:t xml:space="preserve">change with the target level [21]. The primary analysis estimates</w:t>
      </w:r>
      <w:r>
        <w:t xml:space="preserve"> </w:t>
      </w:r>
      <m:oMath>
        <m:r>
          <m:t>ρ</m:t>
        </m:r>
      </m:oMath>
      <w:r>
        <w:t xml:space="preserve"> </w:t>
      </w:r>
      <w:r>
        <w:t xml:space="preserve">from</w:t>
      </w:r>
      <w:r>
        <w:t xml:space="preserve"> </w:t>
      </w:r>
      <w:r>
        <w:t xml:space="preserve">conformity scores, and every analysis on this axis is therefore repeated with the</w:t>
      </w:r>
      <w:r>
        <w:t xml:space="preserve"> </w:t>
      </w:r>
      <w:r>
        <w:t xml:space="preserve">indicator correlation</w:t>
      </w:r>
      <w:r>
        <w:t xml:space="preserve"> </w:t>
      </w:r>
      <m:oMath>
        <m:r>
          <m:t>ρ</m:t>
        </m:r>
        <m:r>
          <m:rPr>
            <m:sty m:val="p"/>
          </m:rPr>
          <m:t>(</m:t>
        </m:r>
        <m:r>
          <m:t>t</m:t>
        </m:r>
        <m:r>
          <m:rPr>
            <m:sty m:val="p"/>
          </m:rPr>
          <m:t>)</m:t>
        </m:r>
      </m:oMath>
      <w:r>
        <w:t xml:space="preserve"> </w:t>
      </w:r>
      <w:r>
        <w:t xml:space="preserve">(§5.4).</w:t>
      </w:r>
    </w:p>
    <w:bookmarkEnd w:id="19"/>
    <w:bookmarkStart w:id="23" w:name="crossed-dependence-sources"/>
    <w:p>
      <w:pPr>
        <w:pStyle w:val="Heading2"/>
      </w:pPr>
      <w:r>
        <w:t xml:space="preserve">3.3 Crossed dependence sources</w:t>
      </w:r>
    </w:p>
    <w:p>
      <w:pPr>
        <w:pStyle w:val="FirstParagraph"/>
        <w:jc w:val="both"/>
      </w:pPr>
      <w:r>
        <w:t xml:space="preserve">Clinical datasets often offer several blocking variables at once, such as</w:t>
      </w:r>
      <w:r>
        <w:t xml:space="preserve"> </w:t>
      </w:r>
      <w:r>
        <w:t xml:space="preserve">patient, device, operator and site, and nothing guarantees that they nest.</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rPr>
          <w:i/>
          <w:iCs/>
        </w:rPr>
        <w:t xml:space="preserve">Proof.</w:t>
      </w:r>
      <w:r>
        <w:t xml:space="preserve"> </w:t>
      </w:r>
      <w:r>
        <w:t xml:space="preserve">If</w:t>
      </w:r>
      <w:r>
        <w:t xml:space="preserve"> </w:t>
      </w:r>
      <m:oMath>
        <m:r>
          <m:rPr>
            <m:scr m:val="script"/>
            <m:sty m:val="p"/>
          </m:rPr>
          <m:t>Q</m:t>
        </m:r>
      </m:oMath>
      <w:r>
        <w:t xml:space="preserve"> </w:t>
      </w:r>
      <w:r>
        <w:t xml:space="preserve">is sufficient for both sources, every</w:t>
      </w:r>
      <w:r>
        <w:t xml:space="preserve"> </w:t>
      </w:r>
      <m:oMath>
        <m:sSub>
          <m:e>
            <m:r>
              <m:rPr>
                <m:scr m:val="script"/>
                <m:sty m:val="p"/>
              </m:rPr>
              <m:t>P</m:t>
            </m:r>
          </m:e>
          <m:sub>
            <m:r>
              <m:t>1</m:t>
            </m:r>
          </m:sub>
        </m:sSub>
      </m:oMath>
      <w:r>
        <w:t xml:space="preserve">-block and every</w:t>
      </w:r>
      <w:r>
        <w:t xml:space="preserve"> </w:t>
      </w:r>
      <m:oMath>
        <m:sSub>
          <m:e>
            <m:r>
              <m:rPr>
                <m:scr m:val="script"/>
                <m:sty m:val="p"/>
              </m:rPr>
              <m:t>P</m:t>
            </m:r>
          </m:e>
          <m:sub>
            <m:r>
              <m:t>2</m:t>
            </m:r>
          </m:sub>
        </m:sSub>
      </m:oMath>
      <w:r>
        <w:t xml:space="preserve">-block lies within one</w:t>
      </w:r>
      <w:r>
        <w:t xml:space="preserve"> </w:t>
      </w:r>
      <m:oMath>
        <m:r>
          <m:rPr>
            <m:scr m:val="script"/>
            <m:sty m:val="p"/>
          </m:rPr>
          <m:t>Q</m:t>
        </m:r>
      </m:oMath>
      <w:r>
        <w:t xml:space="preserve">-block, so two observations joined by a chain of shared</w:t>
      </w:r>
      <w:r>
        <w:t xml:space="preserve"> </w:t>
      </w:r>
      <m:oMath>
        <m:sSub>
          <m:e>
            <m:r>
              <m:rPr>
                <m:scr m:val="script"/>
                <m:sty m:val="p"/>
              </m:rPr>
              <m:t>P</m:t>
            </m:r>
          </m:e>
          <m:sub>
            <m:r>
              <m:t>1</m:t>
            </m:r>
          </m:sub>
        </m:sSub>
      </m:oMath>
      <w:r>
        <w:t xml:space="preserve">- or</w:t>
      </w:r>
      <w:r>
        <w:t xml:space="preserve"> </w:t>
      </w:r>
      <m:oMath>
        <m:sSub>
          <m:e>
            <m:r>
              <m:rPr>
                <m:scr m:val="script"/>
                <m:sty m:val="p"/>
              </m:rPr>
              <m:t>P</m:t>
            </m:r>
          </m:e>
          <m:sub>
            <m:r>
              <m:t>2</m:t>
            </m:r>
          </m:sub>
        </m:sSub>
      </m:oMath>
      <w:r>
        <w:t xml:space="preserve">-blocks also lie within one</w:t>
      </w:r>
      <w:r>
        <w:t xml:space="preserve"> </w:t>
      </w:r>
      <m:oMath>
        <m:r>
          <m:rPr>
            <m:scr m:val="script"/>
            <m:sty m:val="p"/>
          </m:rPr>
          <m:t>Q</m:t>
        </m:r>
      </m:oMath>
      <w:r>
        <w:t xml:space="preserve">-block.</w:t>
      </w:r>
      <w:r>
        <w:t xml:space="preserve"> </w:t>
      </w:r>
      <w:r>
        <w:t xml:space="preserve">Every</w:t>
      </w:r>
      <w:r>
        <w:t xml:space="preserve"> </w:t>
      </w:r>
      <m:oMath>
        <m:r>
          <m:rPr>
            <m:scr m:val="script"/>
            <m:sty m:val="p"/>
          </m:rPr>
          <m:t>Q</m:t>
        </m:r>
      </m:oMath>
      <w:r>
        <w:t xml:space="preserve">-block is therefore a union of connected components. The</w:t>
      </w:r>
      <w:r>
        <w:t xml:space="preserve"> </w:t>
      </w:r>
      <w:r>
        <w:t xml:space="preserve">components themselves form a partition sufficient for both sources, so they are</w:t>
      </w:r>
      <w:r>
        <w:t xml:space="preserve"> </w:t>
      </w:r>
      <w:r>
        <w:t xml:space="preserve">the finest such</w:t>
      </w:r>
      <w:r>
        <w:t xml:space="preserve"> </w:t>
      </w:r>
      <m:oMath>
        <m:r>
          <m:rPr>
            <m:scr m:val="script"/>
            <m:sty m:val="p"/>
          </m:rPr>
          <m:t>Q</m:t>
        </m:r>
      </m:oMath>
      <w:r>
        <w:t xml:space="preserve">. Since the join is coarser than each</w:t>
      </w:r>
      <w:r>
        <w:t xml:space="preserve"> </w:t>
      </w:r>
      <m:oMath>
        <m:sSub>
          <m:e>
            <m:r>
              <m:rPr>
                <m:scr m:val="script"/>
                <m:sty m:val="p"/>
              </m:rPr>
              <m:t>P</m:t>
            </m:r>
          </m:e>
          <m:sub>
            <m:r>
              <m:t>j</m:t>
            </m:r>
          </m:sub>
        </m:sSub>
      </m:oMath>
      <w:r>
        <w:t xml:space="preserve">, it has no more blocks,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cannot</w:t>
      </w:r>
      <w:r>
        <w:t xml:space="preserve"> </w:t>
      </w:r>
      <w:r>
        <w:t xml:space="preserve">decrease. ∎</w:t>
      </w:r>
    </w:p>
    <w:p>
      <w:pPr>
        <w:pStyle w:val="BodyText"/>
        <w:jc w:val="both"/>
      </w:pPr>
      <w:r>
        <w:t xml:space="preserve">The join is standard in partition lattices; what matters here is its consequence</w:t>
      </w:r>
      <w:r>
        <w:t xml:space="preserve"> </w:t>
      </w:r>
      <w:r>
        <w:t xml:space="preserve">for calibration. Fig. 2 illustrates it on eight hypothetical records: five</w:t>
      </w:r>
      <w:r>
        <w:t xml:space="preserve"> </w:t>
      </w:r>
      <w:r>
        <w:t xml:space="preserve">patient blocks and three device blocks, each acceptable alone, shrink to two once</w:t>
      </w:r>
      <w:r>
        <w:t xml:space="preserve"> </w:t>
      </w:r>
      <w:r>
        <w:t xml:space="preserve">both sources must be respected.</w:t>
      </w:r>
    </w:p>
    <w:p>
      <w:pPr>
        <w:pStyle w:val="CaptionedFigure"/>
        <w:jc w:val="both"/>
      </w:pPr>
      <w:r>
        <w:drawing>
          <wp:inline>
            <wp:extent cx="3108960" cy="1073695"/>
            <wp:effectExtent b="0" l="0" r="0" t="0"/>
            <wp:docPr descr="Fig. 2. Proposition 2 on eight hypothetical records. Solid arcs: same patient; dashed arcs: same device; shaded: their join (connected components), the finest grouping sufficient for both sources." title="" id="21" name="Picture"/>
            <a:graphic>
              <a:graphicData uri="http://schemas.openxmlformats.org/drawingml/2006/picture">
                <pic:pic>
                  <pic:nvPicPr>
                    <pic:cNvPr descr="figures/fig2_join_schematic.png" id="22" name="Picture"/>
                    <pic:cNvPicPr>
                      <a:picLocks noChangeArrowheads="1" noChangeAspect="1"/>
                    </pic:cNvPicPr>
                  </pic:nvPicPr>
                  <pic:blipFill>
                    <a:blip r:embed="rId20"/>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Proposition 2 on eight hypothetical records. Solid arcs: same patient; dashed arcs: same device; shaded: their join (connected components), the finest grouping sufficient for both sources.</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finite set of declared sources, with their join</w:t>
      </w:r>
      <w:r>
        <w:t xml:space="preserve"> </w:t>
      </w:r>
      <m:oMath>
        <m:sSub>
          <m:e>
            <m:r>
              <m:rPr>
                <m:scr m:val="script"/>
                <m:sty m:val="p"/>
              </m:rPr>
              <m:t>P</m:t>
            </m:r>
          </m:e>
          <m:sub>
            <m:r>
              <m:t>1</m:t>
            </m:r>
          </m:sub>
        </m:sSub>
        <m:r>
          <m:rPr>
            <m:sty m:val="p"/>
          </m:rPr>
          <m:t>∨</m:t>
        </m:r>
        <m:r>
          <m:rPr>
            <m:sty m:val="p"/>
          </m:rPr>
          <m:t>…</m:t>
        </m:r>
        <m:r>
          <m:rPr>
            <m:sty m:val="p"/>
          </m:rPr>
          <m:t>∨</m:t>
        </m:r>
        <m:sSub>
          <m:e>
            <m:r>
              <m:rPr>
                <m:scr m:val="script"/>
                <m:sty m:val="p"/>
              </m:rPr>
              <m:t>P</m:t>
            </m:r>
          </m:e>
          <m:sub>
            <m:r>
              <m:t>m</m:t>
            </m:r>
          </m:sub>
        </m:sSub>
      </m:oMath>
      <w:r>
        <w:t xml:space="preserve"> </w:t>
      </w:r>
      <w:r>
        <w:t xml:space="preserve">in place of</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This is a property of the study design, not of the score function or the fitted model.</w:t>
      </w:r>
    </w:p>
    <w:p>
      <w:pPr>
        <w:pStyle w:val="BodyText"/>
        <w:jc w:val="both"/>
      </w:pPr>
      <w:r>
        <w:rPr>
          <w:i/>
          <w:iCs/>
        </w:rPr>
        <w:t xml:space="preserve">Proof.</w:t>
      </w:r>
      <w:r>
        <w:t xml:space="preserve"> </w:t>
      </w:r>
      <w:r>
        <w:t xml:space="preserve">By Proposition 2, any grouping sufficient for the declared sources is at</w:t>
      </w:r>
      <w:r>
        <w:t xml:space="preserve"> </w:t>
      </w:r>
      <w:r>
        <w:t xml:space="preserve">least as coarse as their join and so has at most</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oMath>
      <w:r>
        <w:t xml:space="preserve"> </w:t>
      </w:r>
      <w:r>
        <w:t xml:space="preserve">calibration blocks; Proposition 1 then gives</w:t>
      </w:r>
      <w:r>
        <w:t xml:space="preserve"> </w:t>
      </w:r>
      <m:oMath>
        <m:acc>
          <m:accPr>
            <m:chr m:val="̂"/>
          </m:accPr>
          <m:e>
            <m:r>
              <m:t>T</m:t>
            </m:r>
          </m:e>
        </m:acc>
        <m:r>
          <m:rPr>
            <m:sty m:val="p"/>
          </m:rPr>
          <m:t>=</m:t>
        </m:r>
        <m:r>
          <m:rPr>
            <m:sty m:val="p"/>
          </m:rPr>
          <m:t>+</m:t>
        </m:r>
        <m:r>
          <m:rPr>
            <m:sty m:val="p"/>
          </m:rPr>
          <m:t>∞</m:t>
        </m:r>
      </m:oMath>
      <w:r>
        <w:t xml:space="preserve">. The join of</w:t>
      </w:r>
      <w:r>
        <w:t xml:space="preserve"> </w:t>
      </w:r>
      <m:oMath>
        <m:r>
          <m:t>m</m:t>
        </m:r>
      </m:oMath>
      <w:r>
        <w:t xml:space="preserve"> </w:t>
      </w:r>
      <w:r>
        <w:t xml:space="preserve">sources follows by applying Proposition 2</w:t>
      </w:r>
      <w:r>
        <w:t xml:space="preserve"> </w:t>
      </w:r>
      <w:r>
        <w:t xml:space="preserve">repeatedly. ∎</w:t>
      </w:r>
    </w:p>
    <w:p>
      <w:pPr>
        <w:pStyle w:val="BodyText"/>
        <w:jc w:val="both"/>
      </w:pPr>
      <w:r>
        <w:rPr>
          <w:b/>
          <w:bCs/>
        </w:rPr>
        <w:t xml:space="preserve">Scope of Corollary 2.</w:t>
      </w:r>
      <w:r>
        <w:t xml:space="preserve"> </w:t>
      </w:r>
      <w:r>
        <w:t xml:space="preserve">We prove Corollary 2 for HCP as defined in (1). Dunn et</w:t>
      </w:r>
      <w:r>
        <w:t xml:space="preserve"> </w:t>
      </w:r>
      <w:r>
        <w:t xml:space="preserve">al. state group-count conditions for their finite-sample constructions: double</w:t>
      </w:r>
      <w:r>
        <w:t xml:space="preserve"> </w:t>
      </w:r>
      <w:r>
        <w:t xml:space="preserve">conformal can produce non-trivial sets if</w:t>
      </w:r>
      <w:r>
        <w:t xml:space="preserve"> </w:t>
      </w:r>
      <m:oMath>
        <m:r>
          <m:t>k</m:t>
        </m:r>
        <m:r>
          <m:rPr>
            <m:sty m:val="p"/>
          </m:rPr>
          <m:t>≥</m:t>
        </m:r>
        <m:r>
          <m:t>4</m:t>
        </m:r>
        <m:r>
          <m:rPr>
            <m:sty m:val="p"/>
          </m:rPr>
          <m:t>/</m:t>
        </m:r>
        <m:r>
          <m:t>α</m:t>
        </m:r>
        <m:r>
          <m:rPr>
            <m:sty m:val="p"/>
          </m:rPr>
          <m:t>−</m:t>
        </m:r>
        <m:r>
          <m:t>1</m:t>
        </m:r>
      </m:oMath>
      <w:r>
        <w:t xml:space="preserve"> </w:t>
      </w:r>
      <w:r>
        <w:t xml:space="preserve">[13, Th. 3], the</w:t>
      </w:r>
      <w:r>
        <w:t xml:space="preserve"> </w:t>
      </w:r>
      <w:r>
        <w:t xml:space="preserve">unsupervised subsampling constructions if</w:t>
      </w:r>
      <w:r>
        <w:t xml:space="preserve"> </w:t>
      </w:r>
      <m:oMath>
        <m:r>
          <m:t>k</m:t>
        </m:r>
        <m:r>
          <m:rPr>
            <m:sty m:val="p"/>
          </m:rPr>
          <m:t>≥</m:t>
        </m:r>
        <m:r>
          <m:t>2</m:t>
        </m:r>
        <m:r>
          <m:rPr>
            <m:sty m:val="p"/>
          </m:rPr>
          <m:t>/</m:t>
        </m:r>
        <m:r>
          <m:t>α</m:t>
        </m:r>
        <m:r>
          <m:rPr>
            <m:sty m:val="p"/>
          </m:rPr>
          <m:t>−</m:t>
        </m:r>
        <m:r>
          <m:t>1</m:t>
        </m:r>
      </m:oMath>
      <w:r>
        <w:t xml:space="preserve"> </w:t>
      </w:r>
      <w:r>
        <w:t xml:space="preserve">or</w:t>
      </w:r>
      <w:r>
        <w:t xml:space="preserve"> </w:t>
      </w:r>
      <m:oMath>
        <m:r>
          <m:t>k</m:t>
        </m:r>
        <m:r>
          <m:rPr>
            <m:sty m:val="p"/>
          </m:rPr>
          <m:t>&gt;</m:t>
        </m:r>
        <m:r>
          <m:t>2</m:t>
        </m:r>
        <m:r>
          <m:rPr>
            <m:sty m:val="p"/>
          </m:rPr>
          <m:t>/</m:t>
        </m:r>
        <m:r>
          <m:t>α</m:t>
        </m:r>
        <m:r>
          <m:rPr>
            <m:sty m:val="p"/>
          </m:rPr>
          <m:t>−</m:t>
        </m:r>
        <m:r>
          <m:t>1</m:t>
        </m:r>
      </m:oMath>
      <w:r>
        <w:t xml:space="preserve"> </w:t>
      </w:r>
      <w:r>
        <w:t xml:space="preserve">[13, Thms. 5–6], and the supervised subsampling constructions require</w:t>
      </w:r>
      <w:r>
        <w:t xml:space="preserve"> </w:t>
      </w:r>
      <m:oMath>
        <m:r>
          <m:t>k</m:t>
        </m:r>
        <m:r>
          <m:rPr>
            <m:sty m:val="p"/>
          </m:rPr>
          <m:t>&gt;</m:t>
        </m:r>
        <m:r>
          <m:t>1</m:t>
        </m:r>
        <m:r>
          <m:rPr>
            <m:sty m:val="p"/>
          </m:rPr>
          <m:t>/</m:t>
        </m:r>
        <m:r>
          <m:t>α</m:t>
        </m:r>
        <m:r>
          <m:rPr>
            <m:sty m:val="p"/>
          </m:rPr>
          <m:t>−</m:t>
        </m:r>
        <m:r>
          <m:t>1</m:t>
        </m:r>
      </m:oMath>
      <w:r>
        <w:t xml:space="preserve"> </w:t>
      </w:r>
      <w:r>
        <w:t xml:space="preserve">[13, Thms. 9–10], with</w:t>
      </w:r>
      <w:r>
        <w:t xml:space="preserve"> </w:t>
      </w:r>
      <m:oMath>
        <m:r>
          <m:t>k</m:t>
        </m:r>
      </m:oMath>
      <w:r>
        <w:t xml:space="preserve"> </w:t>
      </w:r>
      <w:r>
        <w:t xml:space="preserve">the number of groups. Because these</w:t>
      </w:r>
      <w:r>
        <w:t xml:space="preserve"> </w:t>
      </w:r>
      <w:r>
        <w:t xml:space="preserve">conditions are stated in the number of groups, Proposition 2 implies that they</w:t>
      </w:r>
      <w:r>
        <w:t xml:space="preserve"> </w:t>
      </w:r>
      <w:r>
        <w:t xml:space="preserve">must be checked on the join of the declared sources. CDF pooling, whose coverage</w:t>
      </w:r>
      <w:r>
        <w:t xml:space="preserve"> </w:t>
      </w:r>
      <w:r>
        <w:t xml:space="preserve">is asymptotic, has no such finite-sample condition [13]. Whether every</w:t>
      </w:r>
      <w:r>
        <w:t xml:space="preserve"> </w:t>
      </w:r>
      <w:r>
        <w:t xml:space="preserve">distribution-free method whose validity rests on between-block exchangeability</w:t>
      </w:r>
      <w:r>
        <w:t xml:space="preserve"> </w:t>
      </w:r>
      <w:r>
        <w:t xml:space="preserve">faces a comparable bound is not addressed here.</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passes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w:t>
      </w:r>
      <w:r>
        <w:t xml:space="preserve"> </w:t>
      </w:r>
      <w:r>
        <w:t xml:space="preserve">exact by Proposition 1, and (S2) sufficiency, every</w:t>
      </w:r>
      <w:r>
        <w:t xml:space="preserve"> </w:t>
      </w:r>
      <w:r>
        <w:rPr>
          <w:i/>
          <w:iCs/>
        </w:rPr>
        <w:t xml:space="preserve">declared</w:t>
      </w:r>
      <w:r>
        <w:t xml:space="preserve"> </w:t>
      </w:r>
      <w:r>
        <w:t xml:space="preserve">dependence</w:t>
      </w:r>
      <w:r>
        <w:t xml:space="preserve"> </w:t>
      </w:r>
      <w:r>
        <w:t xml:space="preserve">source nested in</w:t>
      </w:r>
      <w:r>
        <w:t xml:space="preserve"> </w:t>
      </w:r>
      <m:oMath>
        <m:r>
          <m:t>g</m:t>
        </m:r>
      </m:oMath>
      <w:r>
        <w:t xml:space="preserve">, exact relative to that declaration. S1 alone is not enough,</w:t>
      </w:r>
      <w:r>
        <w:t xml:space="preserve"> </w:t>
      </w:r>
      <w:r>
        <w:t xml:space="preserve">since a grouping can admit a finite threshold yet leave dependence between its</w:t>
      </w:r>
      <w:r>
        <w:t xml:space="preserve"> </w:t>
      </w:r>
      <w:r>
        <w:t xml:space="preserve">blocks. S2 is only as complete as its input: an undeclared source passes</w:t>
      </w:r>
      <w:r>
        <w:t xml:space="preserve"> </w:t>
      </w:r>
      <w:r>
        <w:t xml:space="preserve">trivially, so S2 checks that a stated assumption is consistent, not that it</w:t>
      </w:r>
      <w:r>
        <w:t xml:space="preserve"> </w:t>
      </w:r>
      <w:r>
        <w:t xml:space="preserve">holds. With crossed sources the finest grouping passing S2 is their join</w:t>
      </w:r>
      <w:r>
        <w:t xml:space="preserve"> </w:t>
      </w:r>
      <w:r>
        <w:t xml:space="preserve">(Proposition 2). In leakage control, joins of fine groupings are known to form</w:t>
      </w:r>
      <w:r>
        <w:t xml:space="preserve"> </w:t>
      </w:r>
      <w:r>
        <w:t xml:space="preserve">giant components [33], but there a collapsed join merely weakens a split; here,</w:t>
      </w:r>
      <w:r>
        <w:t xml:space="preserve"> </w:t>
      </w:r>
      <w:r>
        <w:t xml:space="preserve">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 (Corollary 2). Since no dataset can</w:t>
      </w:r>
      <w:r>
        <w:t xml:space="preserve"> </w:t>
      </w:r>
      <w:r>
        <w:t xml:space="preserve">confirm the declared set, every verdict is reported as a function of that set,</w:t>
      </w:r>
      <w:r>
        <w:t xml:space="preserve"> </w:t>
      </w:r>
      <w:r>
        <w:t xml:space="preserve">not as a property of the data.</w:t>
      </w:r>
    </w:p>
    <w:bookmarkEnd w:id="23"/>
    <w:bookmarkStart w:id="24" w:name="label-conditional-feasibility"/>
    <w:p>
      <w:pPr>
        <w:pStyle w:val="Heading2"/>
      </w:pPr>
      <w:r>
        <w:t xml:space="preserve">3.4 Label-conditional feasibility</w:t>
      </w:r>
    </w:p>
    <w:p>
      <w:pPr>
        <w:pStyle w:val="FirstParagraph"/>
        <w:jc w:val="both"/>
      </w:pPr>
      <w:r>
        <w:t xml:space="preserve">The PTB-XL diagnoses form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coverage must be defined.</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[12]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Label-conditional calibration computes, for each</w:t>
      </w:r>
      <w:r>
        <w:t xml:space="preserve"> </w:t>
      </w:r>
      <w:r>
        <w:t xml:space="preserve">label</w:t>
      </w:r>
      <w:r>
        <w:t xml:space="preserve"> </w:t>
      </w:r>
      <m:oMath>
        <m:r>
          <m:t>ℓ</m:t>
        </m:r>
      </m:oMath>
      <w:r>
        <w:t xml:space="preserve">, an HCP threshold from the calibration observations carrying</w:t>
      </w:r>
      <w:r>
        <w:t xml:space="preserve"> </w:t>
      </w:r>
      <m:oMath>
        <m:r>
          <m:t>ℓ</m:t>
        </m:r>
      </m:oMath>
      <w:r>
        <w:t xml:space="preserve"> </w:t>
      </w:r>
      <w:r>
        <w:t xml:space="preserve">only; we call it the per-label threshold. Rare classes are known to starve</w:t>
      </w:r>
      <w:r>
        <w:t xml:space="preserve"> </w:t>
      </w:r>
      <w:r>
        <w:t xml:space="preserve">class-conditional calibration under exchangeability [34]; under hierarchical</w:t>
      </w:r>
      <w:r>
        <w:t xml:space="preserve"> </w:t>
      </w:r>
      <w:r>
        <w:t xml:space="preserve">dependence the count that matters is that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Conditioning a test observation on</w:t>
      </w:r>
      <w:r>
        <w:t xml:space="preserve"> </w:t>
      </w:r>
      <m:oMath>
        <m:r>
          <m:t>ℓ</m:t>
        </m:r>
      </m:oMath>
      <w:r>
        <w:t xml:space="preserve"> </w:t>
      </w:r>
      <w:r>
        <w:t xml:space="preserve">draws its block with probability proportional to its share of</w:t>
      </w:r>
      <w:r>
        <w:t xml:space="preserve"> </w:t>
      </w:r>
      <m:oMath>
        <m:r>
          <m:t>ℓ</m:t>
        </m:r>
      </m:oMath>
      <w:r>
        <w:t xml:space="preserve">-positive observations, whereas a calibration block qualifies with a single</w:t>
      </w:r>
      <w:r>
        <w:t xml:space="preserve"> </w:t>
      </w:r>
      <w:r>
        <w:t xml:space="preserve">one. Unless that share is equal across blocks, test and calibration blocks are no</w:t>
      </w:r>
      <w:r>
        <w:t xml:space="preserve"> </w:t>
      </w:r>
      <w:r>
        <w:t xml:space="preserve">longer exchangeable and the rank argument does not give</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because the test block is a</w:t>
      </w:r>
      <w:r>
        <w:t xml:space="preserve"> </w:t>
      </w:r>
      <w:r>
        <w:t xml:space="preserve">size-biased draw. Proposition 3 is therefore used only to</w:t>
      </w:r>
      <w:r>
        <w:t xml:space="preserve"> </w:t>
      </w:r>
      <w:r>
        <w:t xml:space="preserve">exclude guarantees, never to certify them. A block containing a label also</w:t>
      </w:r>
      <w:r>
        <w:t xml:space="preserve"> </w:t>
      </w:r>
      <w:r>
        <w:t xml:space="preserve">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w:t>
      </w:r>
      <w:r>
        <w:t xml:space="preserve"> </w:t>
      </w:r>
      <w:r>
        <w:t xml:space="preserve">condition fails along a frontier of the taxonomy that metadata can map. A union</w:t>
      </w:r>
      <w:r>
        <w:t xml:space="preserve"> </w:t>
      </w:r>
      <w:r>
        <w:t xml:space="preserve">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4"/>
    <w:bookmarkEnd w:id="25"/>
    <w:bookmarkStart w:id="34" w:name="audit-design"/>
    <w:p>
      <w:pPr>
        <w:pStyle w:val="Heading1"/>
      </w:pPr>
      <w:r>
        <w:t xml:space="preserve">4. Audit Design</w:t>
      </w:r>
    </w:p>
    <w:p>
      <w:pPr>
        <w:pStyle w:val="FirstParagraph"/>
        <w:jc w:val="both"/>
      </w:pPr>
      <w:r>
        <w:t xml:space="preserve">The audit has two stages (Fig. 1). The three diagnostics of §3 are first</w:t>
      </w:r>
      <w:r>
        <w:t xml:space="preserve"> </w:t>
      </w:r>
      <w:r>
        <w:t xml:space="preserve">evaluated from metadata, before any model is trained; naive split conformal (B1)</w:t>
      </w:r>
      <w:r>
        <w:t xml:space="preserve"> </w:t>
      </w:r>
      <w:r>
        <w:t xml:space="preserve">and HCP (B12) are then compared for coverage and set size on held-out blocks at</w:t>
      </w:r>
      <w:r>
        <w:t xml:space="preserve"> </w:t>
      </w:r>
      <w:r>
        <w:t xml:space="preserve">feasible levels, over 200 random block-level splits per configuration and three</w:t>
      </w:r>
      <w:r>
        <w:t xml:space="preserve"> </w:t>
      </w:r>
      <w:r>
        <w:t xml:space="preserve">backbones of 0.10 M, 7.2 M and 16.0 M parameters. The metadata diagnostics</w:t>
      </w:r>
      <w:r>
        <w:t xml:space="preserve"> </w:t>
      </w:r>
      <w:r>
        <w:t xml:space="preserve">involve no model and must agree across backbones, a negative control on the</w:t>
      </w:r>
      <w:r>
        <w:t xml:space="preserve"> </w:t>
      </w:r>
      <w:r>
        <w:t xml:space="preserve">pipeline. Throughout, what a dataset</w:t>
      </w:r>
      <w:r>
        <w:t xml:space="preserve"> </w:t>
      </w:r>
      <w:r>
        <w:rPr>
          <w:i/>
          <w:iCs/>
        </w:rPr>
        <w:t xml:space="preserve">documents</w:t>
      </w:r>
      <w:r>
        <w:t xml:space="preserve"> </w:t>
      </w:r>
      <w:r>
        <w:t xml:space="preserve">is kept apart from what can be</w:t>
      </w:r>
      <w:r>
        <w:t xml:space="preserve"> </w:t>
      </w:r>
      <w:r>
        <w:rPr>
          <w:i/>
          <w:iCs/>
        </w:rPr>
        <w:t xml:space="preserve">observed</w:t>
      </w:r>
      <w:r>
        <w:t xml:space="preserve"> </w:t>
      </w:r>
      <w:r>
        <w:t xml:space="preserve">in it.</w:t>
      </w:r>
    </w:p>
    <w:bookmarkStart w:id="29" w:name="datasets-and-dependence-structures"/>
    <w:p>
      <w:pPr>
        <w:pStyle w:val="Heading2"/>
      </w:pPr>
      <w:r>
        <w:t xml:space="preserve">4.1 Datasets and dependence structures</w:t>
      </w:r>
    </w:p>
    <w:p>
      <w:pPr>
        <w:pStyle w:val="FirstParagraph"/>
        <w:jc w:val="both"/>
      </w:pPr>
      <w:r>
        <w:t xml:space="preserve">The three datasets play different roles. Table 1 gives each role and the block</w:t>
      </w:r>
      <w:r>
        <w:t xml:space="preserve"> </w:t>
      </w:r>
      <w:r>
        <w:t xml:space="preserve">geometry that places the two primary datasets at opposite ends of the</w:t>
      </w:r>
      <w:r>
        <w:t xml:space="preserve"> </w:t>
      </w:r>
      <w:r>
        <w:t xml:space="preserve">design-effect axis.</w:t>
      </w:r>
    </w:p>
    <w:p>
      <w:pPr>
        <w:pStyle w:val="BodyText"/>
        <w:keepNext/>
        <w:spacing w:before="160"/>
        <w:jc w:val="left"/>
      </w:pPr>
      <w:r/>
      <w:r>
        <w:rPr>
          <w:b/>
          <w:sz w:val="18"/>
        </w:rPr>
        <w:t xml:space="preserve">Table 1. </w:t>
      </w:r>
      <w:r>
        <w:rPr>
          <w:sz w:val="18"/>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40"/>
        <w:gridCol w:w="2160"/>
        <w:gridCol w:w="2160"/>
        <w:gridCol w:w="216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spacing w:before="120"/>
        <w:jc w:val="both"/>
      </w:pPr>
      <w:r>
        <w:t xml:space="preserve">PTB-XL:</w:t>
      </w:r>
      <w:r>
        <w:t xml:space="preserve"> </w:t>
      </w:r>
      <m:oMath>
        <m:sSub>
          <m:e>
            <m:r>
              <m:t>K</m:t>
            </m:r>
          </m:e>
          <m:sub>
            <m:r>
              <m:t>1</m:t>
            </m:r>
          </m:sub>
        </m:sSub>
      </m:oMath>
      <w:r>
        <w:t xml:space="preserve"> </w:t>
      </w:r>
      <w:r>
        <w:t xml:space="preserve">is half of the 1,917 fold-9 patients with a diagnostic superclass,</w:t>
      </w:r>
      <w:r>
        <w:t xml:space="preserve"> </w:t>
      </w:r>
      <w:r>
        <w:t xml:space="preserve">as split in the coverage experiments;</w:t>
      </w:r>
      <w:r>
        <w:t xml:space="preserve"> </w:t>
      </w:r>
      <m:oMath>
        <m:r>
          <m:t>H</m:t>
        </m:r>
      </m:oMath>
      <w:r>
        <w:t xml:space="preserve"> </w:t>
      </w:r>
      <w:r>
        <w:t xml:space="preserve">and</w:t>
      </w:r>
      <w:r>
        <w:t xml:space="preserve"> </w:t>
      </w:r>
      <m:oMath>
        <m:r>
          <m:t>ρ</m:t>
        </m:r>
      </m:oMath>
      <w:r>
        <w:t xml:space="preserve"> </w:t>
      </w:r>
      <w:r>
        <w:t xml:space="preserve">are computed over all 1,917.</w:t>
      </w:r>
      <w:r>
        <w:t xml:space="preserve"> </w:t>
      </w:r>
      <w:r>
        <w:t xml:space="preserve">† MIT-BIH: calibration records subsampled to a common 1,355 beats (§4.4), so the</w:t>
      </w:r>
      <w:r>
        <w:t xml:space="preserve"> </w:t>
      </w:r>
      <w:r>
        <w:t xml:space="preserve">design effect is that of the dose–response experiment at</w:t>
      </w:r>
      <w:r>
        <w:t xml:space="preserve"> </w:t>
      </w:r>
      <m:oMath>
        <m:r>
          <m:t>p</m:t>
        </m:r>
        <m:r>
          <m:rPr>
            <m:sty m:val="p"/>
          </m:rPr>
          <m:t>=</m:t>
        </m:r>
        <m:r>
          <m:t>0</m:t>
        </m:r>
      </m:oMath>
      <w:r>
        <w:t xml:space="preserve">; the native</w:t>
      </w:r>
      <w:r>
        <w:t xml:space="preserve"> </w:t>
      </w:r>
      <w:r>
        <w:t xml:space="preserve">harmonic mean is 2,196 over all 44 records (Fig. 3), and the coverage deficits of</w:t>
      </w:r>
      <w:r>
        <w:t xml:space="preserve"> </w:t>
      </w:r>
      <w:r>
        <w:t xml:space="preserve">§5.2–§5.3 use full-length records.</w:t>
      </w:r>
    </w:p>
    <w:p>
      <w:pPr>
        <w:pStyle w:val="BodyText"/>
        <w:jc w:val="both"/>
      </w:pPr>
      <w:r>
        <w:t xml:space="preserve">Block count and block size come as a package within any one dataset, so no</w:t>
      </w:r>
      <w:r>
        <w:t xml:space="preserve"> </w:t>
      </w:r>
      <w:r>
        <w:t xml:space="preserve">single dataset can separate their effects. Only the native block sizes are</w:t>
      </w:r>
      <w:r>
        <w:t xml:space="preserve"> </w:t>
      </w:r>
      <w:r>
        <w:t xml:space="preserve">structural:</w:t>
      </w:r>
      <w:r>
        <w:t xml:space="preserve"> </w:t>
      </w:r>
      <m:oMath>
        <m:sSub>
          <m:e>
            <m:r>
              <m:t>K</m:t>
            </m:r>
          </m:e>
          <m:sub>
            <m:r>
              <m:t>1</m:t>
            </m:r>
          </m:sub>
        </m:sSub>
      </m:oMath>
      <w:r>
        <w:t xml:space="preserve"> </w:t>
      </w:r>
      <w:r>
        <w:t xml:space="preserve">follows from the split design, and the design effect depends on</w:t>
      </w:r>
      <w:r>
        <w:t xml:space="preserve"> </w:t>
      </w:r>
      <w:r>
        <w:t xml:space="preserve">the model through the score ICC</w:t>
      </w:r>
      <w:r>
        <w:t xml:space="preserve"> </w:t>
      </w:r>
      <m:oMath>
        <m:r>
          <m:t>ρ</m:t>
        </m:r>
      </m:oMath>
      <w:r>
        <w:t xml:space="preserve">. Challenge 2021 supports no claim of</w:t>
      </w:r>
      <w:r>
        <w:t xml:space="preserve"> </w:t>
      </w:r>
      <w:r>
        <w:t xml:space="preserve">generality; it is there because a diagnostic that only ever returns</w:t>
      </w:r>
      <w:r>
        <w:t xml:space="preserve"> </w:t>
      </w:r>
      <w:r>
        <w:t xml:space="preserve">“admissible”</w:t>
      </w:r>
      <w:r>
        <w:t xml:space="preserve"> </w:t>
      </w:r>
      <w:r>
        <w:t xml:space="preserve">has not shown it can discriminate.</w:t>
      </w:r>
    </w:p>
    <w:p>
      <w:pPr>
        <w:pStyle w:val="BodyText"/>
        <w:jc w:val="both"/>
      </w:pPr>
      <w:r>
        <w:rPr>
          <w:b/>
          <w:bCs/>
        </w:rPr>
        <w:t xml:space="preserve">PTB-XL.</w:t>
      </w:r>
      <w:r>
        <w:t xml:space="preserve"> </w:t>
      </w:r>
      <w:r>
        <w:t xml:space="preserve">Version 1.0.3 [2], [14] holds 21,799 twelve-lead records from 18,869</w:t>
      </w:r>
      <w:r>
        <w:t xml:space="preserve"> </w:t>
      </w:r>
      <w:r>
        <w:t xml:space="preserve">patients with full metadata under a permissive licence. We use the 100 Hz version</w:t>
      </w:r>
      <w:r>
        <w:t xml:space="preserve"> </w:t>
      </w:r>
      <w:r>
        <w:t xml:space="preserve">(1,000 samples per 10-second record), band-pass filtered at 0.5–40 Hz with a</w:t>
      </w:r>
      <w:r>
        <w:t xml:space="preserve"> </w:t>
      </w:r>
      <w:r>
        <w:t xml:space="preserve">zero-phase third-order Butterworth filter and z-normalized per lead and record.</w:t>
      </w:r>
      <w:r>
        <w:t xml:space="preserve"> </w:t>
      </w:r>
      <w:r>
        <w:t xml:space="preserve">A record receives a superclass when any diagnostic SCP statement of that class</w:t>
      </w:r>
      <w:r>
        <w:t xml:space="preserve"> </w:t>
      </w:r>
      <w:r>
        <w:t xml:space="preserve">appears in its annotation, regardless of likelihood: NORM (9,514), MI (5,469),</w:t>
      </w:r>
      <w:r>
        <w:t xml:space="preserve"> </w:t>
      </w:r>
      <w:r>
        <w:t xml:space="preserve">STTC (5,235), CD (4,898) and HYP (2,649), 27,765 labels in all, with 5,144</w:t>
      </w:r>
      <w:r>
        <w:t xml:space="preserve"> </w:t>
      </w:r>
      <w:r>
        <w:t xml:space="preserve">records carrying more than one. The 411 records (1.9%) without a diagnostic</w:t>
      </w:r>
      <w:r>
        <w:t xml:space="preserve"> </w:t>
      </w:r>
      <w:r>
        <w:t xml:space="preserve">superclass would be covered trivially under (5) and are excluded. Median age is</w:t>
      </w:r>
      <w:r>
        <w:t xml:space="preserve"> </w:t>
      </w:r>
      <w:r>
        <w:t xml:space="preserve">62, and 11,354 records are from male and 10,445 from female patients.</w:t>
      </w:r>
    </w:p>
    <w:p>
      <w:pPr>
        <w:pStyle w:val="BodyText"/>
        <w:jc w:val="both"/>
      </w:pPr>
      <w:r>
        <w:t xml:space="preserve">Patients contribute 1.155 records on average and at most 10; 88.8% contribute</w:t>
      </w:r>
      <w:r>
        <w:t xml:space="preserve"> </w:t>
      </w:r>
      <w:r>
        <w:t xml:space="preserve">one, and only 5,041 records (23.1%) come from patients with several. Three more</w:t>
      </w:r>
      <w:r>
        <w:t xml:space="preserve"> </w:t>
      </w:r>
      <w:r>
        <w:t xml:space="preserve">grouping variables, 51 recording sites (17 records missing), 12 nurses (1,473</w:t>
      </w:r>
      <w:r>
        <w:t xml:space="preserve"> </w:t>
      </w:r>
      <w:r>
        <w:t xml:space="preserve">missing) and 11 devices (none missing), cross rather than nest, the situation of</w:t>
      </w:r>
      <w:r>
        <w:t xml:space="preserve"> </w:t>
      </w:r>
      <w:r>
        <w:t xml:space="preserve">Corollary 2. Fig. 3 sets these groupings beside the MIT-BIH records: curve length</w:t>
      </w:r>
      <w:r>
        <w:t xml:space="preserve"> </w:t>
      </w:r>
      <w:r>
        <w:t xml:space="preserve">is the number of blocks, which governs feasibility, and height is block size,</w:t>
      </w:r>
      <w:r>
        <w:t xml:space="preserve"> </w:t>
      </w:r>
      <w:r>
        <w:t xml:space="preserve">which drives the design effect.</w:t>
      </w:r>
    </w:p>
    <w:p>
      <w:pPr>
        <w:pStyle w:val="CaptionedFigure"/>
        <w:jc w:val="both"/>
      </w:pPr>
      <w:r>
        <w:drawing>
          <wp:inline>
            <wp:extent cx="3108960" cy="2150583"/>
            <wp:effectExtent b="0" l="0" r="0" t="0"/>
            <wp:docPr descr="Fig. 3. Block sizes in decreasing order (log–log). Curve length is the number of blocks K; H is the harmonic mean block size over the whole dataset. Curves ending left of the dotted line cannot support \alpha=0.05 (Corollary 1)." title="" id="27" name="Picture"/>
            <a:graphic>
              <a:graphicData uri="http://schemas.openxmlformats.org/drawingml/2006/picture">
                <pic:pic>
                  <pic:nvPicPr>
                    <pic:cNvPr descr="figures/fig3_block_geometry.png" id="28" name="Picture"/>
                    <pic:cNvPicPr>
                      <a:picLocks noChangeArrowheads="1" noChangeAspect="1"/>
                    </pic:cNvPicPr>
                  </pic:nvPicPr>
                  <pic:blipFill>
                    <a:blip r:embed="rId26"/>
                    <a:stretch>
                      <a:fillRect/>
                    </a:stretch>
                  </pic:blipFill>
                  <pic:spPr bwMode="auto">
                    <a:xfrm>
                      <a:off x="0" y="0"/>
                      <a:ext cx="3108960" cy="2150583"/>
                    </a:xfrm>
                    <a:prstGeom prst="rect">
                      <a:avLst/>
                    </a:prstGeom>
                    <a:noFill/>
                    <a:ln w="9525">
                      <a:noFill/>
                      <a:headEnd/>
                      <a:tailEnd/>
                    </a:ln>
                  </pic:spPr>
                </pic:pic>
              </a:graphicData>
            </a:graphic>
          </wp:inline>
        </w:drawing>
      </w:r>
    </w:p>
    <w:p>
      <w:pPr>
        <w:pStyle w:val="ImageCaption"/>
        <w:jc w:val="both"/>
      </w:pPr>
      <w:r>
        <w:t xml:space="preserve">Fig. 3. Block sizes in decreasing order (log–log). Curve length is the number of blocks</w:t>
      </w:r>
      <w:r>
        <w:t xml:space="preserve"> </w:t>
      </w:r>
      <m:oMath>
        <m:r>
          <m:t>K</m:t>
        </m:r>
      </m:oMath>
      <w:r>
        <w:t xml:space="preserve">;</w:t>
      </w:r>
      <w:r>
        <w:t xml:space="preserve"> </w:t>
      </w:r>
      <m:oMath>
        <m:r>
          <m:t>H</m:t>
        </m:r>
      </m:oMath>
      <w:r>
        <w:t xml:space="preserve"> </w:t>
      </w:r>
      <w:r>
        <w:t xml:space="preserve">is the harmonic mean block size over the whole dataset. Curves ending left of the dotted line cannot support</w:t>
      </w:r>
      <w:r>
        <w:t xml:space="preserve"> </w:t>
      </w:r>
      <m:oMath>
        <m:r>
          <m:t>α</m:t>
        </m:r>
        <m:r>
          <m:rPr>
            <m:sty m:val="p"/>
          </m:rPr>
          <m:t>=</m:t>
        </m:r>
        <m:r>
          <m:t>0.05</m:t>
        </m:r>
      </m:oMath>
      <w:r>
        <w:t xml:space="preserve"> </w:t>
      </w:r>
      <w:r>
        <w:t xml:space="preserve">(Corollary 1).</w:t>
      </w:r>
    </w:p>
    <w:p>
      <w:pPr>
        <w:pStyle w:val="BodyText"/>
        <w:jc w:val="both"/>
      </w:pPr>
      <w:r>
        <w:t xml:space="preserve">PTB-XL patient blocks are many and nearly singletons, whereas the other PTB-XL</w:t>
      </w:r>
      <w:r>
        <w:t xml:space="preserve"> </w:t>
      </w:r>
      <w:r>
        <w:t xml:space="preserve">sources and the MIT-BIH records give few blocks of hundreds to thousands of</w:t>
      </w:r>
      <w:r>
        <w:t xml:space="preserve"> </w:t>
      </w:r>
      <w:r>
        <w:t xml:space="preserve">observations. The stratified ten-fold split is used as released (17,418 records</w:t>
      </w:r>
      <w:r>
        <w:t xml:space="preserve"> </w:t>
      </w:r>
      <w:r>
        <w:t xml:space="preserve">in folds 1–8, 2,183 in fold 9, 2,198 in fold 10; no patient in two folds).</w:t>
      </w:r>
      <w:r>
        <w:t xml:space="preserve"> </w:t>
      </w:r>
      <w:r>
        <w:t xml:space="preserve">Cardiologists validated 67.0% of records in folds 1–8 (range 64–68%) but all</w:t>
      </w:r>
      <w:r>
        <w:t xml:space="preserve"> </w:t>
      </w:r>
      <w:r>
        <w:t xml:space="preserve">records in folds 9 and 10, so all analyses use fold 9; fold 10 is held in reserve</w:t>
      </w:r>
      <w:r>
        <w:t xml:space="preserve"> </w:t>
      </w:r>
      <w:r>
        <w:t xml:space="preserve">and has not been examined.</w:t>
      </w:r>
    </w:p>
    <w:p>
      <w:pPr>
        <w:pStyle w:val="BodyText"/>
        <w:jc w:val="both"/>
      </w:pPr>
      <w:r>
        <w:rPr>
          <w:b/>
          <w:bCs/>
        </w:rPr>
        <w:t xml:space="preserve">MIT-BIH.</w:t>
      </w:r>
      <w:r>
        <w:t xml:space="preserve"> </w:t>
      </w:r>
      <w:r>
        <w:t xml:space="preserve">Version 1.0.0 [15] holds 48 half-hour two-channel recordings at</w:t>
      </w:r>
      <w:r>
        <w:t xml:space="preserve"> </w:t>
      </w:r>
      <w:r>
        <w:t xml:space="preserve">360 Hz from 47 subjects, annotated beat by beat by cardiologists; the four paced</w:t>
      </w:r>
      <w:r>
        <w:t xml:space="preserve"> </w:t>
      </w:r>
      <w:r>
        <w:t xml:space="preserve">records (102, 104, 107, 217) are removed, leaving 44 records from 43 subjects. Mapping annotations to the five AAMI</w:t>
      </w:r>
      <w:r>
        <w:t xml:space="preserve"> </w:t>
      </w:r>
      <w:r>
        <w:t xml:space="preserve">classes gives 100,733 beats, each a window centered on its R peak, filtered as</w:t>
      </w:r>
      <w:r>
        <w:t xml:space="preserve"> </w:t>
      </w:r>
      <w:r>
        <w:t xml:space="preserve">for PTB-XL and z-normalized per beat. The 40 beats too close to a record boundary</w:t>
      </w:r>
      <w:r>
        <w:t xml:space="preserve"> </w:t>
      </w:r>
      <w:r>
        <w:t xml:space="preserve">for a full 256-sample (711 ms) window are dropped, leaving 100,693: N 90,087,</w:t>
      </w:r>
      <w:r>
        <w:t xml:space="preserve"> </w:t>
      </w:r>
      <w:r>
        <w:t xml:space="preserve">S 2,781, V 7,008, F 802 and Q 15, with Q kept and reported as degenerate. The</w:t>
      </w:r>
      <w:r>
        <w:t xml:space="preserve"> </w:t>
      </w:r>
      <w:r>
        <w:t xml:space="preserve">MLII lead is selected by name, because record 114 stores its channels as</w:t>
      </w:r>
      <w:r>
        <w:t xml:space="preserve"> </w:t>
      </w:r>
      <w:r>
        <w:rPr>
          <w:rStyle w:val="VerbatimChar"/>
        </w:rPr>
        <w:t xml:space="preserve">[V5, MLII]</w:t>
      </w:r>
      <w:r>
        <w:t xml:space="preserve">. The inter-patient partition gives DS1 and DS2, 22 records each,</w:t>
      </w:r>
      <w:r>
        <w:t xml:space="preserve"> </w:t>
      </w:r>
      <w:r>
        <w:t xml:space="preserve">with 51,000 and 49,693 beats; records hold 1,517 to 3,361 beats (median 2,257),</w:t>
      </w:r>
      <w:r>
        <w:t xml:space="preserve"> </w:t>
      </w:r>
      <w:r>
        <w:t xml:space="preserve">three orders of magnitude more than a PTB-XL block. Records 201 and 202 come from</w:t>
      </w:r>
      <w:r>
        <w:t xml:space="preserve"> </w:t>
      </w:r>
      <w:r>
        <w:t xml:space="preserve">one subject but fall on opposite sides of the partition, so DS2 holds 22 distinct</w:t>
      </w:r>
      <w:r>
        <w:t xml:space="preserve"> </w:t>
      </w:r>
      <w:r>
        <w:t xml:space="preserve">subjects, one of whom also contributes record 201 to training; we keep the</w:t>
      </w:r>
      <w:r>
        <w:t xml:space="preserve"> </w:t>
      </w:r>
      <w:r>
        <w:t xml:space="preserve">standard split for comparability and disclose the leak. Below, a MIT-BIH block is</w:t>
      </w:r>
      <w:r>
        <w:t xml:space="preserve"> </w:t>
      </w:r>
      <w:r>
        <w:t xml:space="preserve">a record, and with this one exception a record is a subject.</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[16] holds 66,416 records in seven non-duplicate source folders. No header field</w:t>
      </w:r>
      <w:r>
        <w:t xml:space="preserve"> </w:t>
      </w:r>
      <w:r>
        <w:t xml:space="preserve">in the sample we inspected is documented as a patient identifier, whereas</w:t>
      </w:r>
      <w:r>
        <w:t xml:space="preserve"> </w:t>
      </w:r>
      <w:r>
        <w:t xml:space="preserve">repetition is documented, so independent units are fewer than records and the</w:t>
      </w:r>
      <w:r>
        <w:t xml:space="preserve"> </w:t>
      </w:r>
      <w:r>
        <w:t xml:space="preserve">unobservable patient partition is no evidence of independence (Appendix C). The</w:t>
      </w:r>
      <w:r>
        <w:t xml:space="preserve"> </w:t>
      </w:r>
      <w:r>
        <w:t xml:space="preserve">only documented grouping, the source partition with</w:t>
      </w:r>
      <w:r>
        <w:t xml:space="preserve"> </w:t>
      </w:r>
      <m:oMath>
        <m:r>
          <m:t>K</m:t>
        </m:r>
        <m:r>
          <m:rPr>
            <m:sty m:val="p"/>
          </m:rPr>
          <m:t>=</m:t>
        </m:r>
        <m:r>
          <m:t>7</m:t>
        </m:r>
      </m:oMath>
      <w:r>
        <w:t xml:space="preserve">, gives</w:t>
      </w:r>
      <w:r>
        <w:t xml:space="preserve"> </w:t>
      </w:r>
      <m:oMath>
        <m:sSub>
          <m:e>
            <m:r>
              <m:t>α</m:t>
            </m:r>
          </m:e>
          <m:sub>
            <m:r>
              <m:rPr>
                <m:sty m:val="p"/>
              </m:rPr>
              <m:t>min</m:t>
            </m:r>
          </m:sub>
        </m:sSub>
        <m:r>
          <m:rPr>
            <m:sty m:val="p"/>
          </m:rPr>
          <m:t>≥</m:t>
        </m:r>
        <m:r>
          <m:t>1</m:t>
        </m:r>
        <m:r>
          <m:rPr>
            <m:sty m:val="p"/>
          </m:rPr>
          <m:t>/</m:t>
        </m:r>
        <m:r>
          <m:t>8</m:t>
        </m:r>
      </m:oMath>
      <w:r>
        <w:t xml:space="preserve"> </w:t>
      </w:r>
      <w:r>
        <w:t xml:space="preserve">by Proposition 1; source folders are not patient blocks,</w:t>
      </w:r>
      <w:r>
        <w:t xml:space="preserve"> </w:t>
      </w:r>
      <w:r>
        <w:t xml:space="preserve">and for the patient partition</w:t>
      </w:r>
      <w:r>
        <w:t xml:space="preserve"> </w:t>
      </w:r>
      <m:oMath>
        <m:sSub>
          <m:e>
            <m:r>
              <m:t>K</m:t>
            </m:r>
          </m:e>
          <m:sub>
            <m:r>
              <m:t>1</m:t>
            </m:r>
          </m:sub>
        </m:sSub>
      </m:oMath>
      <w:r>
        <w:t xml:space="preserve"> </w:t>
      </w:r>
      <w:r>
        <w:t xml:space="preserve">becomes an assumption that authors must</w:t>
      </w:r>
      <w:r>
        <w:t xml:space="preserve"> </w:t>
      </w:r>
      <w:r>
        <w:t xml:space="preserve">state.</w:t>
      </w:r>
    </w:p>
    <w:bookmarkEnd w:id="29"/>
    <w:bookmarkStart w:id="30" w:name="calibration-and-evaluation-protocol"/>
    <w:p>
      <w:pPr>
        <w:pStyle w:val="Heading2"/>
      </w:pPr>
      <w:r>
        <w:t xml:space="preserve">4.2 Calibration and evaluation protocol</w:t>
      </w:r>
    </w:p>
    <w:p>
      <w:pPr>
        <w:pStyle w:val="FirstParagraph"/>
        <w:jc w:val="both"/>
      </w:pPr>
      <w:r>
        <w:t xml:space="preserve">B1 is split conformal prediction calibrated as if records or beats were</w:t>
      </w:r>
      <w:r>
        <w:t xml:space="preserve"> </w:t>
      </w:r>
      <w:r>
        <w:t xml:space="preserve">exchangeable; B12 is HCP calibrated at the block level [12]. We ask whether any</w:t>
      </w:r>
      <w:r>
        <w:t xml:space="preserve"> </w:t>
      </w:r>
      <w:r>
        <w:t xml:space="preserve">guarantee can be enforced, not which construction is most efficient, so the</w:t>
      </w:r>
      <w:r>
        <w:t xml:space="preserve"> </w:t>
      </w:r>
      <w:r>
        <w:t xml:space="preserve">constructions of Dunn et al. [13] and Mondrian conformal prediction are not</w:t>
      </w:r>
      <w:r>
        <w:t xml:space="preserve"> </w:t>
      </w:r>
      <w:r>
        <w:t xml:space="preserve">compared.</w:t>
      </w:r>
    </w:p>
    <w:p>
      <w:pPr>
        <w:pStyle w:val="BodyText"/>
        <w:jc w:val="both"/>
      </w:pPr>
      <w:r>
        <w:t xml:space="preserve">PTB-XL trains on folds 1–6, validates on fold 7 and splits the 1,917 fold-9</w:t>
      </w:r>
      <w:r>
        <w:t xml:space="preserve"> </w:t>
      </w:r>
      <w:r>
        <w:t xml:space="preserve">patients with a diagnostic superclass evenly into calibration and evaluation</w:t>
      </w:r>
      <w:r>
        <w:t xml:space="preserve"> </w:t>
      </w:r>
      <w:r>
        <w:t xml:space="preserve">halves (200–400 repetitions); fold 8 is left out for its different label quality,</w:t>
      </w:r>
      <w:r>
        <w:t xml:space="preserve"> </w:t>
      </w:r>
      <w:r>
        <w:t xml:space="preserve">and fold 10 is reserved and unexamined. The feasibility counts of §5.1 instead</w:t>
      </w:r>
      <w:r>
        <w:t xml:space="preserve"> </w:t>
      </w:r>
      <w:r>
        <w:t xml:space="preserve">treat all of fold 9 (2,183 records, 1,942 patients) as the calibration pool,</w:t>
      </w:r>
      <w:r>
        <w:t xml:space="preserve"> </w:t>
      </w:r>
      <w:r>
        <w:t xml:space="preserve">the largest pool the design allows; they answer whether any calibration could be</w:t>
      </w:r>
      <w:r>
        <w:t xml:space="preserve"> </w:t>
      </w:r>
      <w:r>
        <w:t xml:space="preserve">feasible, the coverage experiments what a realistic split delivers. MIT-BIH</w:t>
      </w:r>
      <w:r>
        <w:t xml:space="preserve"> </w:t>
      </w:r>
      <w:r>
        <w:t xml:space="preserve">trains on DS1 minus four validation records (124, 205, 215, 230), validates on</w:t>
      </w:r>
      <w:r>
        <w:t xml:space="preserve"> </w:t>
      </w:r>
      <w:r>
        <w:t xml:space="preserve">those four, and splits DS2 11/11 at the record level (200–400 repetitions).</w:t>
      </w:r>
    </w:p>
    <w:p>
      <w:pPr>
        <w:pStyle w:val="BodyText"/>
        <w:jc w:val="both"/>
      </w:pPr>
      <w:r>
        <w:t xml:space="preserve">Coverage is the fraction of held-out observations covered (beats for MIT-BIH,</w:t>
      </w:r>
      <w:r>
        <w:t xml:space="preserve"> </w:t>
      </w:r>
      <w:r>
        <w:t xml:space="preserve">records for PTB-XL), averaged over splits. This observation-weighted coverage is</w:t>
      </w:r>
      <w:r>
        <w:t xml:space="preserve"> </w:t>
      </w:r>
      <w:r>
        <w:t xml:space="preserve">the natural target of split conformal, whose nominal statement concerns one</w:t>
      </w:r>
      <w:r>
        <w:t xml:space="preserve"> </w:t>
      </w:r>
      <w:r>
        <w:t xml:space="preserve">exchangeable observation, whereas guarantee (2) concerns one observation from a</w:t>
      </w:r>
      <w:r>
        <w:t xml:space="preserve"> </w:t>
      </w:r>
      <w:r>
        <w:t xml:space="preserve">new block, whose empirical counterpart averages within each test block first.</w:t>
      </w:r>
      <w:r>
        <w:t xml:space="preserve"> </w:t>
      </w:r>
      <w:r>
        <w:t xml:space="preserve">The two coincide for equal block sizes and nearly so on PTB-XL; DS2 records</w:t>
      </w:r>
      <w:r>
        <w:t xml:space="preserve"> </w:t>
      </w:r>
      <w:r>
        <w:t xml:space="preserve">differ in length by up to a factor of 2.1, so both are reported there (§5.3). On</w:t>
      </w:r>
      <w:r>
        <w:t xml:space="preserve"> </w:t>
      </w:r>
      <w:r>
        <w:t xml:space="preserve">PTB-XL we report superset coverage (5), using the maximum score over the true</w:t>
      </w:r>
      <w:r>
        <w:t xml:space="preserve"> </w:t>
      </w:r>
      <w:r>
        <w:t xml:space="preserve">labels.</w:t>
      </w:r>
    </w:p>
    <w:bookmarkEnd w:id="30"/>
    <w:bookmarkStart w:id="31" w:name="models-and-conformity-scores"/>
    <w:p>
      <w:pPr>
        <w:pStyle w:val="Heading2"/>
      </w:pPr>
      <w:r>
        <w:t xml:space="preserve">4.3 Models and conformity scores</w:t>
      </w:r>
    </w:p>
    <w:p>
      <w:pPr>
        <w:pStyle w:val="FirstParagraph"/>
        <w:jc w:val="both"/>
      </w:pPr>
      <w:r>
        <w:t xml:space="preserve">Conformal guarantees do not depend on the model, so the backbone changes set</w:t>
      </w:r>
      <w:r>
        <w:t xml:space="preserve"> </w:t>
      </w:r>
      <w:r>
        <w:t xml:space="preserve">size, not validity. The primary backbone, SmallECGNet, is a compact 1-D</w:t>
      </w:r>
      <w:r>
        <w:t xml:space="preserve"> </w:t>
      </w:r>
      <w:r>
        <w:t xml:space="preserve">convolutional network (104,389 parameters for 12-lead input, 101,925 for one</w:t>
      </w:r>
      <w:r>
        <w:t xml:space="preserve"> </w:t>
      </w:r>
      <w:r>
        <w:t xml:space="preserve">lead), trained in an exploratory stage of this project and reused without</w:t>
      </w:r>
      <w:r>
        <w:t xml:space="preserve"> </w:t>
      </w:r>
      <w:r>
        <w:t xml:space="preserve">retraining. Each audit is repeated</w:t>
      </w:r>
      <w:r>
        <w:t xml:space="preserve"> </w:t>
      </w:r>
      <w:r>
        <w:t xml:space="preserve">with two 1-D residual networks of the PTB-XL benchmark family [1], ResNet1D-34</w:t>
      </w:r>
      <w:r>
        <w:t xml:space="preserve"> </w:t>
      </w:r>
      <w:r>
        <w:t xml:space="preserve">(7,225,733 / 7,220,805 parameters) and ResNet1D-50 (15,969,413 / 15,964,485),</w:t>
      </w:r>
      <w:r>
        <w:t xml:space="preserve"> </w:t>
      </w:r>
      <w:r>
        <w:t xml:space="preserve">trained with Adam (learning rate</w:t>
      </w:r>
      <w:r>
        <w:t xml:space="preserve"> </w:t>
      </w:r>
      <m:oMath>
        <m:sSup>
          <m:e>
            <m:r>
              <m:t>10</m:t>
            </m:r>
          </m:e>
          <m:sup>
            <m:r>
              <m:rPr>
                <m:sty m:val="p"/>
              </m:rPr>
              <m:t>−</m:t>
            </m:r>
            <m:r>
              <m:t>3</m:t>
            </m:r>
          </m:sup>
        </m:sSup>
      </m:oMath>
      <w:r>
        <w:t xml:space="preserve">), early stopping on validation loss</w:t>
      </w:r>
      <w:r>
        <w:t xml:space="preserve"> </w:t>
      </w:r>
      <w:r>
        <w:t xml:space="preserve">(patience 5) and at most 25 epochs on PTB-XL and 30 on MIT-BIH; SmallECGNet was</w:t>
      </w:r>
      <w:r>
        <w:t xml:space="preserve"> </w:t>
      </w:r>
      <w:r>
        <w:t xml:space="preserve">trained with the same optimizer, stopping rule and batch sizes.</w:t>
      </w:r>
      <w:r>
        <w:t xml:space="preserve"> </w:t>
      </w:r>
      <w:r>
        <w:t xml:space="preserve">Losses are binary cross-entropy over the five superclasses (PTB-XL) and</w:t>
      </w:r>
      <w:r>
        <w:t xml:space="preserve"> </w:t>
      </w:r>
      <w:r>
        <w:t xml:space="preserve">cross-entropy over the five AAMI classes (MIT-BIH), without class weighting;</w:t>
      </w:r>
      <w:r>
        <w:t xml:space="preserve"> </w:t>
      </w:r>
      <w:r>
        <w:t xml:space="preserve">batches hold 128 records or 256 beats, accumulated for the residual networks from</w:t>
      </w:r>
      <w:r>
        <w:t xml:space="preserve"> </w:t>
      </w:r>
      <w:r>
        <w:t xml:space="preserve">micro-batches of 32 or 64, so batch-normalization statistics are per</w:t>
      </w:r>
      <w:r>
        <w:t xml:space="preserve"> </w:t>
      </w:r>
      <w:r>
        <w:t xml:space="preserve">micro-batch. The primary backbone reaches a macro-AUROC of 0.9016 on PTB-XL and,</w:t>
      </w:r>
      <w:r>
        <w:t xml:space="preserve"> </w:t>
      </w:r>
      <w:r>
        <w:t xml:space="preserve">on MIT-BIH, an accuracy of 0.8690 with balanced accuracy 0.3748 and macro-F1</w:t>
      </w:r>
      <w:r>
        <w:t xml:space="preserve"> </w:t>
      </w:r>
      <w:r>
        <w:t xml:space="preserve">0.3144. The backbones were deliberately not tuned for discrimination: validity</w:t>
      </w:r>
      <w:r>
        <w:t xml:space="preserve"> </w:t>
      </w:r>
      <w:r>
        <w:t xml:space="preserve">holds for any score fixed before calibration, so a weak minority-class score</w:t>
      </w:r>
      <w:r>
        <w:t xml:space="preserve"> </w:t>
      </w:r>
      <w:r>
        <w:t xml:space="preserve">enlarges sets without affecting the coverage under audit. 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w:t>
      </w:r>
      <w:r>
        <w:t xml:space="preserve"> </w:t>
      </w:r>
      <w:r>
        <w:t xml:space="preserve">label for multi-label PTB-XL, where the superset score is the maximum over the</w:t>
      </w:r>
      <w:r>
        <w:t xml:space="preserve"> </w:t>
      </w:r>
      <w:r>
        <w:t xml:space="preserve">true labels and reduces to scalar HCP (§3.4).</w:t>
      </w:r>
    </w:p>
    <w:bookmarkEnd w:id="31"/>
    <w:bookmarkStart w:id="32" w:name="statistical-analysis"/>
    <w:p>
      <w:pPr>
        <w:pStyle w:val="Heading2"/>
      </w:pPr>
      <w:r>
        <w:t xml:space="preserve">4.4 Statistical analysis</w:t>
      </w:r>
    </w:p>
    <w:p>
      <w:pPr>
        <w:pStyle w:val="FirstParagraph"/>
        <w:jc w:val="both"/>
      </w:pPr>
      <w:r>
        <w:t xml:space="preserve">Resampling acts on blocks (patients or records), never on single records or</w:t>
      </w:r>
      <w:r>
        <w:t xml:space="preserve"> </w:t>
      </w:r>
      <w:r>
        <w:t xml:space="preserve">beats, which would reproduce the error under study. Intervals over repeated</w:t>
      </w:r>
      <w:r>
        <w:t xml:space="preserve"> </w:t>
      </w:r>
      <w:r>
        <w:t xml:space="preserve">random splits of a fixed set of blocks describe the Monte Carlo variability of</w:t>
      </w:r>
      <w:r>
        <w:t xml:space="preserve"> </w:t>
      </w:r>
      <w:r>
        <w:t xml:space="preserve">the split procedure on those blocks; they narrow as splits are added and are not</w:t>
      </w:r>
      <w:r>
        <w:t xml:space="preserve"> </w:t>
      </w:r>
      <w:r>
        <w:t xml:space="preserve">confidence intervals for the patient population. For the central MIT-BIH</w:t>
      </w:r>
      <w:r>
        <w:t xml:space="preserve"> </w:t>
      </w:r>
      <w:r>
        <w:t xml:space="preserve">comparison we therefore also treat records as the sampling unit, through a</w:t>
      </w:r>
      <w:r>
        <w:t xml:space="preserve"> </w:t>
      </w:r>
      <w:r>
        <w:t xml:space="preserve">leave-one-record-out jackknife over the 22 DS2 records with Holm correction</w:t>
      </w:r>
      <w:r>
        <w:t xml:space="preserve"> </w:t>
      </w:r>
      <w:r>
        <w:t xml:space="preserve">across the three</w:t>
      </w:r>
      <w:r>
        <w:t xml:space="preserve"> </w:t>
      </w:r>
      <m:oMath>
        <m:r>
          <m:t>α</m:t>
        </m:r>
      </m:oMath>
      <w:r>
        <w:t xml:space="preserve"> </w:t>
      </w:r>
      <w:r>
        <w:t xml:space="preserve">levels of each backbone. This analysis was added after</w:t>
      </w:r>
      <w:r>
        <w:t xml:space="preserve"> </w:t>
      </w:r>
      <w:r>
        <w:t xml:space="preserve">the initial plan, once the distinction was noticed, but its specification was</w:t>
      </w:r>
      <w:r>
        <w:t xml:space="preserve"> </w:t>
      </w:r>
      <w:r>
        <w:t xml:space="preserve">committed before it was run. All analyses follow an internal, version-controlled</w:t>
      </w:r>
      <w:r>
        <w:t xml:space="preserve"> </w:t>
      </w:r>
      <w:r>
        <w:t xml:space="preserve">protocol, not publicly registered, whose deviation log records every departure</w:t>
      </w:r>
      <w:r>
        <w:t xml:space="preserve"> </w:t>
      </w:r>
      <w:r>
        <w:t xml:space="preserve">from the initial plan (§6.4). Friedman–Nemenyi tests, designed for many classifiers over many</w:t>
      </w:r>
      <w:r>
        <w:t xml:space="preserve"> </w:t>
      </w:r>
      <w:r>
        <w:t xml:space="preserve">datasets, are uninformative with two and are not used.</w:t>
      </w:r>
    </w:p>
    <w:p>
      <w:pPr>
        <w:pStyle w:val="BodyText"/>
        <w:jc w:val="both"/>
      </w:pPr>
      <w:r>
        <w:t xml:space="preserve">The three MIT-BIH controls are sketched in Fig. 7 (§5.3). The permutation null</w:t>
      </w:r>
      <w:r>
        <w:t xml:space="preserve"> </w:t>
      </w:r>
      <w:r>
        <w:t xml:space="preserve">applies one random permutation of record labels to DS2 beats, preserving every</w:t>
      </w:r>
      <w:r>
        <w:t xml:space="preserve"> </w:t>
      </w:r>
      <w:r>
        <w:t xml:space="preserve">block size, and shares its splits with the observed arm. The factorial design</w:t>
      </w:r>
      <w:r>
        <w:t xml:space="preserve"> </w:t>
      </w:r>
      <w:r>
        <w:t xml:space="preserve">crosses original and permuted membership with calibration records subsampled to</w:t>
      </w:r>
      <w:r>
        <w:t xml:space="preserve"> </w:t>
      </w:r>
      <w:r>
        <w:t xml:space="preserve">1,355 beats (60% of the mean record length) or to 60% of their own length, which</w:t>
      </w:r>
      <w:r>
        <w:t xml:space="preserve"> </w:t>
      </w:r>
      <w:r>
        <w:t xml:space="preserve">matches calibration size in expectation; test records are used in full. The</w:t>
      </w:r>
      <w:r>
        <w:t xml:space="preserve"> </w:t>
      </w:r>
      <w:r>
        <w:t xml:space="preserve">dose–response 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and subsamples calibration records to 1,355</w:t>
      </w:r>
      <w:r>
        <w:t xml:space="preserve"> </w:t>
      </w:r>
      <w:r>
        <w:t xml:space="preserve">beats. Intraclass correlations use the one-way ANOVA estimator for unbalanced</w:t>
      </w:r>
      <w:r>
        <w:t xml:space="preserve"> </w:t>
      </w:r>
      <w:r>
        <w:t xml:space="preserve">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w:t>
      </w:r>
      <w:r>
        <w:t xml:space="preserve"> </w:t>
      </w:r>
      <w:r>
        <w:t xml:space="preserve">conformity scores (on PTB-XL, the superset score of (5)); the indicator version</w:t>
      </w:r>
      <w:r>
        <w:t xml:space="preserve"> </w:t>
      </w:r>
      <w:r>
        <w:t xml:space="preserve">thresholds at the</w:t>
      </w:r>
      <w:r>
        <w:t xml:space="preserve"> </w:t>
      </w:r>
      <m:oMath>
        <m:r>
          <m:rPr>
            <m:sty m:val="p"/>
          </m:rPr>
          <m:t>(</m:t>
        </m:r>
        <m:r>
          <m:t>1</m:t>
        </m:r>
        <m:r>
          <m:rPr>
            <m:sty m:val="p"/>
          </m:rPr>
          <m:t>−</m:t>
        </m:r>
        <m:r>
          <m:t>α</m:t>
        </m:r>
        <m:r>
          <m:rPr>
            <m:sty m:val="p"/>
          </m:rPr>
          <m:t>)</m:t>
        </m:r>
      </m:oMath>
      <w:r>
        <w:t xml:space="preserve"> </w:t>
      </w:r>
      <w:r>
        <w:t xml:space="preserve">quantile of all evaluation scores. Table 2 lists</w:t>
      </w:r>
      <w:r>
        <w:t xml:space="preserve"> </w:t>
      </w:r>
      <w:r>
        <w:t xml:space="preserve">the procedure behind each reported quantity.</w:t>
      </w:r>
    </w:p>
    <w:p>
      <w:pPr>
        <w:pStyle w:val="BodyText"/>
        <w:keepNext/>
        <w:spacing w:before="160"/>
        <w:jc w:val="left"/>
      </w:pPr>
      <w:r/>
      <w:r>
        <w:rPr>
          <w:b/>
          <w:sz w:val="18"/>
        </w:rPr>
        <w:t xml:space="preserve">Table 2. </w:t>
      </w:r>
      <w:r>
        <w:rPr>
          <w:sz w:val="18"/>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018"/>
        <w:gridCol w:w="5901"/>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 one-sided bootstrap</w:t>
            </w:r>
            <w:r>
              <w:rPr>
                <w:sz w:val="17"/>
              </w:rPr>
              <w:t xml:space="preserve"> </w:t>
            </w:r>
            <m:oMath>
              <m:r>
                <m:t>p</m:t>
              </m:r>
            </m:oMath>
            <w:r>
              <w:rPr>
                <w:sz w:val="17"/>
              </w:rPr>
              <w:t xml:space="preserve">, Holm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 Holm–Bonferroni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32"/>
    <w:bookmarkStart w:id="33"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with seed 0 throughout. Every reported number is stored with its</w:t>
      </w:r>
      <w:r>
        <w:t xml:space="preserve"> </w:t>
      </w:r>
      <w:r>
        <w:t xml:space="preserve">configuration as a JSON artifact.</w:t>
      </w:r>
    </w:p>
    <w:bookmarkEnd w:id="33"/>
    <w:bookmarkEnd w:id="34"/>
    <w:bookmarkStart w:id="61" w:name="results"/>
    <w:p>
      <w:pPr>
        <w:pStyle w:val="Heading1"/>
      </w:pPr>
      <w:r>
        <w:t xml:space="preserve">5. Results</w:t>
      </w:r>
    </w:p>
    <w:p>
      <w:pPr>
        <w:pStyle w:val="FirstParagraph"/>
        <w:jc w:val="both"/>
      </w:pPr>
      <w:r>
        <w:t xml:space="preserve">Results follow the order of the audit: feasibility (§5.1), coverage (§5.2),</w:t>
      </w:r>
      <w:r>
        <w:t xml:space="preserve"> </w:t>
      </w:r>
      <w:r>
        <w:t xml:space="preserve">attribution (§5.3), dose–response (§5.4) and robustness (§5.5), with B1 and B12</w:t>
      </w:r>
      <w:r>
        <w:t xml:space="preserve"> </w:t>
      </w:r>
      <w:r>
        <w:t xml:space="preserve">as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41"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Treating all of PTB-XL fold 9 (2,183 records, 1,942 patients) as</w:t>
      </w:r>
      <w:r>
        <w:t xml:space="preserve"> </w:t>
      </w:r>
      <w:r>
        <w:t xml:space="preserve">the calibration pool (§4.2), patient blocking is feasible at every conventional</w:t>
      </w:r>
      <w:r>
        <w:t xml:space="preserve"> </w:t>
      </w:r>
      <m:oMath>
        <m:r>
          <m:t>α</m:t>
        </m:r>
      </m:oMath>
      <w:r>
        <w:t xml:space="preserve">, and each coarser source narrows the admissible range. Any calibration</w:t>
      </w:r>
      <w:r>
        <w:t xml:space="preserve"> </w:t>
      </w:r>
      <w:r>
        <w:t xml:space="preserve">half drawn from fold 9 is a subset of this pool, so a grouping or label that</w:t>
      </w:r>
      <w:r>
        <w:t xml:space="preserve"> </w:t>
      </w:r>
      <w:r>
        <w:t xml:space="preserve">fails here fails in every split. Table 3 gives, per grouping, the calibration</w:t>
      </w:r>
      <w:r>
        <w:t xml:space="preserve"> </w:t>
      </w:r>
      <w:r>
        <w:t xml:space="preserve">blocks,</w:t>
      </w:r>
      <w:r>
        <w:t xml:space="preserve"> </w:t>
      </w:r>
      <m:oMath>
        <m:sSub>
          <m:e>
            <m:r>
              <m:t>α</m:t>
            </m:r>
          </m:e>
          <m:sub>
            <m:r>
              <m:rPr>
                <m:sty m:val="p"/>
              </m:rPr>
              <m:t>min</m:t>
            </m:r>
          </m:sub>
        </m:sSub>
      </m:oMath>
      <w:r>
        <w:t xml:space="preserve"> </w:t>
      </w:r>
      <w:r>
        <w:t xml:space="preserve">and the conventional levels that remain attainable.</w:t>
      </w:r>
    </w:p>
    <w:p>
      <w:pPr>
        <w:pStyle w:val="BodyText"/>
        <w:keepNext/>
        <w:spacing w:before="160"/>
        <w:jc w:val="left"/>
      </w:pPr>
      <w:r/>
      <w:r>
        <w:rPr>
          <w:b/>
          <w:sz w:val="18"/>
        </w:rPr>
        <w:t xml:space="preserve">Table 3. </w:t>
      </w:r>
      <w:r>
        <w:rPr>
          <w:sz w:val="18"/>
        </w:rPr>
        <w:t>HCP feasibility by grouping, with all of PTB-XL fold 9 as the calibration pool.</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560"/>
        <w:gridCol w:w="1200"/>
        <w:gridCol w:w="720"/>
        <w:gridCol w:w="1320"/>
        <w:gridCol w:w="1200"/>
        <w:gridCol w:w="480"/>
        <w:gridCol w:w="480"/>
        <w:gridCol w:w="480"/>
        <w:gridCol w:w="480"/>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120"/>
      </w:pPr>
      <w:r>
        <w:t xml:space="preserve">† Applicable only if calibration draws on folds 1–8.</w:t>
      </w:r>
    </w:p>
    <w:p>
      <w:pPr>
        <w:pStyle w:val="BodyText"/>
        <w:jc w:val="both"/>
      </w:pPr>
      <w:r>
        <w:t xml:space="preserve">The site row needs care. Of the 40 sites in fold 9, 37 occur only among the 223</w:t>
      </w:r>
      <w:r>
        <w:t xml:space="preserve"> </w:t>
      </w:r>
      <w:r>
        <w:t xml:space="preserve">records with an empty</w:t>
      </w:r>
      <w:r>
        <w:t xml:space="preserve"> </w:t>
      </w:r>
      <w:r>
        <w:rPr>
          <w:rStyle w:val="VerbatimChar"/>
        </w:rPr>
        <w:t xml:space="preserve">nurse</w:t>
      </w:r>
      <w:r>
        <w:t xml:space="preserve"> </w:t>
      </w:r>
      <w:r>
        <w:t xml:space="preserve">field, while the 1,960 fully annotated records come</w:t>
      </w:r>
      <w:r>
        <w:t xml:space="preserve"> </w:t>
      </w:r>
      <w:r>
        <w:t xml:space="preserve">from just 3 sites, so site blocking is admissible only thanks to a minority of</w:t>
      </w:r>
      <w:r>
        <w:t xml:space="preserve"> </w:t>
      </w:r>
      <w:r>
        <w:t xml:space="preserve">incompletely annotated records that seem to stem from a different collection</w:t>
      </w:r>
      <w:r>
        <w:t xml:space="preserve"> </w:t>
      </w:r>
      <w:r>
        <w:t xml:space="preserve">regime.</w:t>
      </w:r>
    </w:p>
    <w:p>
      <w:pPr>
        <w:pStyle w:val="BodyText"/>
        <w:jc w:val="both"/>
      </w:pPr>
      <w:r>
        <w:rPr>
          <w:b/>
          <w:bCs/>
        </w:rPr>
        <w:t xml:space="preserve">Crossed sources.</w:t>
      </w:r>
      <w:r>
        <w:t xml:space="preserve"> </w:t>
      </w:r>
      <w:r>
        <w:t xml:space="preserve">The PTB-XL sources cross: 46 patients appear at more than one</w:t>
      </w:r>
      <w:r>
        <w:t xml:space="preserve"> </w:t>
      </w:r>
      <w:r>
        <w:t xml:space="preserve">site, 247 with more than one nurse and 174 on more than one device. Respecting</w:t>
      </w:r>
      <w:r>
        <w:t xml:space="preserve"> </w:t>
      </w:r>
      <w:r>
        <w:t xml:space="preserve">several sources therefore means calibrating on their join, which coarsens fast.</w:t>
      </w:r>
      <w:r>
        <w:t xml:space="preserve"> </w:t>
      </w:r>
      <w:r>
        <w:t xml:space="preserve">Over all 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leave one block</w:t>
      </w:r>
      <w:r>
        <w:t xml:space="preserve"> </w:t>
      </w:r>
      <w:r>
        <w:t xml:space="preserve">(</w:t>
      </w:r>
      <m:oMath>
        <m:sSub>
          <m:e>
            <m:r>
              <m:t>α</m:t>
            </m:r>
          </m:e>
          <m:sub>
            <m:r>
              <m:rPr>
                <m:sty m:val="p"/>
              </m:rPr>
              <m:t>min</m:t>
            </m:r>
          </m:sub>
        </m:sSub>
        <m:r>
          <m:rPr>
            <m:sty m:val="p"/>
          </m:rPr>
          <m:t>=</m:t>
        </m:r>
        <m:r>
          <m:t>0.5</m:t>
        </m:r>
      </m:oMath>
      <w:r>
        <w:t xml:space="preserve">). On the 1,960 records with complete metadata we enumerated</w:t>
      </w:r>
      <w:r>
        <w:t xml:space="preserve"> </w:t>
      </w:r>
      <w:r>
        <w:t xml:space="preserve">all 15 joins of the four declared sources; 8 meet the sufficiency condition, and</w:t>
      </w:r>
      <w:r>
        <w:t xml:space="preserve"> </w:t>
      </w:r>
      <w:r>
        <w:t xml:space="preserve">all 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The statement is conditional on that declaration, which the data</w:t>
      </w:r>
      <w:r>
        <w:t xml:space="preserve"> </w:t>
      </w:r>
      <w:r>
        <w:t xml:space="preserve">cannot verify (§6.4); the tendency of joins to merge into a giant component is</w:t>
      </w:r>
      <w:r>
        <w:t xml:space="preserve"> </w:t>
      </w:r>
      <w:r>
        <w:t xml:space="preserve">known [33]. Fig. 4 places the single sources, their joins and the MIT-BIH record</w:t>
      </w:r>
      <w:r>
        <w:t xml:space="preserve"> </w:t>
      </w:r>
      <w:r>
        <w:t xml:space="preserve">partition on the feasibility frontier.</w:t>
      </w:r>
    </w:p>
    <w:p>
      <w:pPr>
        <w:pStyle w:val="CaptionedFigure"/>
        <w:jc w:val="both"/>
      </w:pPr>
      <w:r>
        <w:drawing>
          <wp:inline>
            <wp:extent cx="3108960" cy="2176272"/>
            <wp:effectExtent b="0" l="0" r="0" t="0"/>
            <wp:docPr descr="Fig. 4. Feasibility frontier \alpha_{\min}=1/(K_1+1) for groupings on PTB-XL (circles: single source; squares: joins; all of fold 9 as the calibration pool) and for the 11 calibration records of the MIT-BIH 11/11 split (diamond), with K_1 in parentheses. A level \alpha is attainable only below its dotted line." title="" id="36" name="Picture"/>
            <a:graphic>
              <a:graphicData uri="http://schemas.openxmlformats.org/drawingml/2006/picture">
                <pic:pic>
                  <pic:nvPicPr>
                    <pic:cNvPr descr="figures/fig4_feasibility_frontier.png" id="37" name="Picture"/>
                    <pic:cNvPicPr>
                      <a:picLocks noChangeArrowheads="1" noChangeAspect="1"/>
                    </pic:cNvPicPr>
                  </pic:nvPicPr>
                  <pic:blipFill>
                    <a:blip r:embed="rId35"/>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4.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groupings on PTB-XL (circles: single source; squares: joins; all of fold 9 as the calibration pool) and for the 11 calibration records of the MIT-BIH 11/11 split (diamond), with</w:t>
      </w:r>
      <w:r>
        <w:t xml:space="preserve"> </w:t>
      </w:r>
      <m:oMath>
        <m:sSub>
          <m:e>
            <m:r>
              <m:t>K</m:t>
            </m:r>
          </m:e>
          <m:sub>
            <m:r>
              <m:t>1</m:t>
            </m:r>
          </m:sub>
        </m:sSub>
      </m:oMath>
      <w:r>
        <w:t xml:space="preserve"> </w:t>
      </w:r>
      <w:r>
        <w:t xml:space="preserve">in parentheses. A level</w:t>
      </w:r>
      <w:r>
        <w:t xml:space="preserve"> </w:t>
      </w:r>
      <m:oMath>
        <m:r>
          <m:t>α</m:t>
        </m:r>
      </m:oMath>
      <w:r>
        <w:t xml:space="preserve"> </w:t>
      </w:r>
      <w:r>
        <w:t xml:space="preserve">is attainable only below its dotted line.</w:t>
      </w:r>
    </w:p>
    <w:p>
      <w:pPr>
        <w:pStyle w:val="BodyText"/>
        <w:jc w:val="both"/>
      </w:pPr>
      <w:r>
        <w:rPr>
          <w:b/>
          <w:bCs/>
        </w:rPr>
        <w:t xml:space="preserve">Labels.</w:t>
      </w:r>
      <w:r>
        <w:t xml:space="preserve"> </w:t>
      </w:r>
      <w:r>
        <w:t xml:space="preserve">Applied label by label, Proposition 3 shrinks the feasible region as</w:t>
      </w:r>
      <w:r>
        <w:t xml:space="preserve"> </w:t>
      </w:r>
      <w:r>
        <w:t xml:space="preserve">the hierarchy becomes finer. With all of fold 9 as the calibration pool, all</w:t>
      </w:r>
      <w:r>
        <w:t xml:space="preserve"> </w:t>
      </w:r>
      <w:r>
        <w:t xml:space="preserve">superclasses pass, but 24 of the 44 diagnostic SCP statements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a Bonferroni</w:t>
      </w:r>
      <w:r>
        <w:t xml:space="preserve"> </w:t>
      </w:r>
      <w:r>
        <w:t xml:space="preserve">correction across statements makes 43 of 44 infeasible at a family-wise</w:t>
      </w:r>
      <w:r>
        <w:t xml:space="preserve"> </w:t>
      </w:r>
      <m:oMath>
        <m:r>
          <m:t>α</m:t>
        </m:r>
        <m:r>
          <m:rPr>
            <m:sty m:val="p"/>
          </m:rPr>
          <m:t>=</m:t>
        </m:r>
        <m:r>
          <m:t>0.05</m:t>
        </m:r>
      </m:oMath>
      <w:r>
        <w:t xml:space="preserve">. These verdicts are a necessary-condition screen, not observed</w:t>
      </w:r>
      <w:r>
        <w:t xml:space="preserve"> </w:t>
      </w:r>
      <w:r>
        <w:t xml:space="preserve">coverage failures, and passing the screen does not certify a label; since the</w:t>
      </w:r>
      <w:r>
        <w:t xml:space="preserve"> </w:t>
      </w:r>
      <w:r>
        <w:t xml:space="preserve">coverage experiments calibrate on about half the patients, the screen does not</w:t>
      </w:r>
      <w:r>
        <w:t xml:space="preserve"> </w:t>
      </w:r>
      <w:r>
        <w:t xml:space="preserve">overstate the calibration blocks available to them. Table 4 counts the failing</w:t>
      </w:r>
      <w:r>
        <w:t xml:space="preserve"> </w:t>
      </w:r>
      <w:r>
        <w:t xml:space="preserve">labels per level.</w:t>
      </w:r>
    </w:p>
    <w:p>
      <w:pPr>
        <w:pStyle w:val="BodyText"/>
        <w:keepNext/>
        <w:spacing w:before="160"/>
        <w:jc w:val="left"/>
      </w:pPr>
      <w:r/>
      <w:r>
        <w:rPr>
          <w:b/>
          <w:sz w:val="18"/>
        </w:rPr>
        <w:t xml:space="preserve">Table 4. </w:t>
      </w:r>
      <w:r>
        <w:rPr>
          <w:sz w:val="18"/>
        </w:rPr>
        <w:t>PTB-XL labels failing Proposition 3 (all of fold 9 as the calibration pool,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613"/>
        <w:gridCol w:w="733"/>
        <w:gridCol w:w="1320"/>
        <w:gridCol w:w="1026"/>
        <w:gridCol w:w="1026"/>
        <w:gridCol w:w="1026"/>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statement</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spacing w:before="120"/>
        <w:jc w:val="both"/>
      </w:pPr>
      <w:r>
        <w:t xml:space="preserve">The hierarchy was monotone in all 23 parent–child pairs, and MIT-BIH class Q is</w:t>
      </w:r>
      <w:r>
        <w:t xml:space="preserve"> </w:t>
      </w:r>
      <w:r>
        <w:t xml:space="preserve">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5 resolves Table 4</w:t>
      </w:r>
      <w:r>
        <w:t xml:space="preserve"> </w:t>
      </w:r>
      <w:r>
        <w:t xml:space="preserve">label by label against the block counts required at</w:t>
      </w:r>
      <w:r>
        <w:t xml:space="preserve"> </w:t>
      </w:r>
      <m:oMath>
        <m:r>
          <m:t>α</m:t>
        </m:r>
        <m:r>
          <m:rPr>
            <m:sty m:val="p"/>
          </m:rPr>
          <m:t>=</m:t>
        </m:r>
        <m:r>
          <m:t>0.05</m:t>
        </m:r>
      </m:oMath>
      <w:r>
        <w:t xml:space="preserve"> </w:t>
      </w:r>
      <w:r>
        <w:t xml:space="preserve">and</w:t>
      </w:r>
      <w:r>
        <w:t xml:space="preserve"> </w:t>
      </w:r>
      <m:oMath>
        <m:r>
          <m:t>0.10</m:t>
        </m:r>
      </m:oMath>
      <w:r>
        <w:t xml:space="preserve">.</w:t>
      </w:r>
    </w:p>
    <w:p>
      <w:pPr>
        <w:pStyle w:val="CaptionedFigure"/>
        <w:jc w:val="both"/>
      </w:pPr>
      <w:r>
        <w:drawing>
          <wp:inline>
            <wp:extent cx="5303520" cy="1595119"/>
            <wp:effectExtent b="0" l="0" r="0" t="0"/>
            <wp:docPr descr="Fig. 5. Calibration blocks carrying each PTB-XL label by hierarchy level (fold 9, patient blocks; log scale). Dashed and dotted lines: blocks required at \alpha=0.05 and 0.10. Dark bars meet the 0.05 requirement, light bars only the 0.10 one, orange bars neither." title="" id="39" name="Picture"/>
            <a:graphic>
              <a:graphicData uri="http://schemas.openxmlformats.org/drawingml/2006/picture">
                <pic:pic>
                  <pic:nvPicPr>
                    <pic:cNvPr descr="figures/fig5_label_feasibility.png" id="40" name="Picture"/>
                    <pic:cNvPicPr>
                      <a:picLocks noChangeArrowheads="1" noChangeAspect="1"/>
                    </pic:cNvPicPr>
                  </pic:nvPicPr>
                  <pic:blipFill>
                    <a:blip r:embed="rId38"/>
                    <a:stretch>
                      <a:fillRect/>
                    </a:stretch>
                  </pic:blipFill>
                  <pic:spPr bwMode="auto">
                    <a:xfrm>
                      <a:off x="0" y="0"/>
                      <a:ext cx="5303520" cy="1595119"/>
                    </a:xfrm>
                    <a:prstGeom prst="rect">
                      <a:avLst/>
                    </a:prstGeom>
                    <a:noFill/>
                    <a:ln w="9525">
                      <a:noFill/>
                      <a:headEnd/>
                      <a:tailEnd/>
                    </a:ln>
                  </pic:spPr>
                </pic:pic>
              </a:graphicData>
            </a:graphic>
          </wp:inline>
        </w:drawing>
      </w:r>
    </w:p>
    <w:p>
      <w:pPr>
        <w:pStyle w:val="ImageCaption"/>
        <w:jc w:val="both"/>
      </w:pPr>
      <w:r>
        <w:t xml:space="preserve">Fig. 5. Calibration blocks carrying each PTB-XL label by hierarchy level (fold 9, patient blocks; log scale). Dashed and dotted lines: blocks required at</w:t>
      </w:r>
      <w:r>
        <w:t xml:space="preserve"> </w:t>
      </w:r>
      <m:oMath>
        <m:r>
          <m:t>α</m:t>
        </m:r>
        <m:r>
          <m:rPr>
            <m:sty m:val="p"/>
          </m:rPr>
          <m:t>=</m:t>
        </m:r>
        <m:r>
          <m:t>0.05</m:t>
        </m:r>
      </m:oMath>
      <w:r>
        <w:t xml:space="preserve"> </w:t>
      </w:r>
      <w:r>
        <w:t xml:space="preserve">and</w:t>
      </w:r>
      <w:r>
        <w:t xml:space="preserve"> </w:t>
      </w:r>
      <m:oMath>
        <m:r>
          <m:t>0.10</m:t>
        </m:r>
      </m:oMath>
      <w:r>
        <w:t xml:space="preserve">. Dark bars meet the</w:t>
      </w:r>
      <w:r>
        <w:t xml:space="preserve"> </w:t>
      </w:r>
      <m:oMath>
        <m:r>
          <m:t>0.05</m:t>
        </m:r>
      </m:oMath>
      <w:r>
        <w:t xml:space="preserve"> </w:t>
      </w:r>
      <w:r>
        <w:t xml:space="preserve">requirement, light bars only the</w:t>
      </w:r>
      <w:r>
        <w:t xml:space="preserve"> </w:t>
      </w:r>
      <m:oMath>
        <m:r>
          <m:t>0.10</m:t>
        </m:r>
      </m:oMath>
      <w:r>
        <w:t xml:space="preserve"> </w:t>
      </w:r>
      <w:r>
        <w:t xml:space="preserve">one, orange bars neither.</w:t>
      </w:r>
    </w:p>
    <w:bookmarkEnd w:id="41"/>
    <w:bookmarkStart w:id="45" w:name="coverage-under-block-dependence"/>
    <w:p>
      <w:pPr>
        <w:pStyle w:val="Heading2"/>
      </w:pPr>
      <w:r>
        <w:t xml:space="preserve">5.2 Coverage under block dependence</w:t>
      </w:r>
    </w:p>
    <w:p>
      <w:pPr>
        <w:pStyle w:val="FirstParagraph"/>
        <w:jc w:val="both"/>
      </w:pPr>
      <w:r>
        <w:t xml:space="preserve">Over 200 block-level splits (§4.2), mean B1 coverage on MIT-BIH falls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nominal. Table 5 lists coverage and set size for both methods with the</w:t>
      </w:r>
      <w:r>
        <w:t xml:space="preserve"> </w:t>
      </w:r>
      <w:r>
        <w:t xml:space="preserve">primary backbones.</w:t>
      </w:r>
    </w:p>
    <w:p>
      <w:pPr>
        <w:pStyle w:val="BodyText"/>
        <w:keepNext/>
        <w:spacing w:before="160"/>
        <w:jc w:val="left"/>
      </w:pPr>
      <w:r/>
      <w:r>
        <w:rPr>
          <w:b/>
          <w:sz w:val="18"/>
        </w:rPr>
        <w:t xml:space="preserve">Table 5. </w:t>
      </w:r>
      <w:r>
        <w:rPr>
          <w:sz w:val="18"/>
        </w:rPr>
        <w:t>Coverage (mean,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990"/>
        <w:gridCol w:w="866"/>
        <w:gridCol w:w="3093"/>
        <w:gridCol w:w="1237"/>
        <w:gridCol w:w="866"/>
        <w:gridCol w:w="866"/>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rPr>
          <w:cantSplit/>
        </w:trP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spacing w:before="120"/>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Still, on MIT-BIH the range across splits contains</w:t>
      </w:r>
      <w:r>
        <w:t xml:space="preserve"> </w:t>
      </w:r>
      <m:oMath>
        <m:r>
          <m:t>1</m:t>
        </m:r>
        <m:r>
          <m:rPr>
            <m:sty m:val="p"/>
          </m:rPr>
          <m:t>−</m:t>
        </m:r>
        <m:r>
          <m:t>α</m:t>
        </m:r>
      </m:oMath>
      <w:r>
        <w:t xml:space="preserve"> </w:t>
      </w:r>
      <w:r>
        <w:t xml:space="preserve">at every level: with</w:t>
      </w:r>
      <w:r>
        <w:t xml:space="preserve"> </w:t>
      </w:r>
      <w:r>
        <w:t xml:space="preserve">11 test records no single split can expose a deficit of this size, and comparing</w:t>
      </w:r>
      <w:r>
        <w:t xml:space="preserve"> </w:t>
      </w:r>
      <w:r>
        <w:t xml:space="preserve">means is not a test. Set size has to accompany any reading of B12 coverage. At</w:t>
      </w:r>
      <w:r>
        <w:t xml:space="preserve"> </w:t>
      </w:r>
      <m:oMath>
        <m:r>
          <m:t>α</m:t>
        </m:r>
        <m:r>
          <m:rPr>
            <m:sty m:val="p"/>
          </m:rPr>
          <m:t>=</m:t>
        </m:r>
        <m:r>
          <m:t>0.10</m:t>
        </m:r>
      </m:oMath>
      <w:r>
        <w:t xml:space="preserve"> </w:t>
      </w:r>
      <w:r>
        <w:t xml:space="preserve">HCP covers 0.9615 of beats with sets of 2.43 labels out of 5,</w:t>
      </w:r>
      <w:r>
        <w:t xml:space="preserve"> </w:t>
      </w:r>
      <w:r>
        <w:t xml:space="preserve">whereas B1 needs 1.05, and below</w:t>
      </w:r>
      <w:r>
        <w:t xml:space="preserve"> </w:t>
      </w:r>
      <m:oMath>
        <m:sSub>
          <m:e>
            <m:r>
              <m:t>α</m:t>
            </m:r>
          </m:e>
          <m:sub>
            <m:r>
              <m:rPr>
                <m:sty m:val="p"/>
              </m:rPr>
              <m:t>min</m:t>
            </m:r>
          </m:sub>
        </m:sSub>
      </m:oMath>
      <w:r>
        <w:t xml:space="preserve"> </w:t>
      </w:r>
      <w:r>
        <w:t xml:space="preserve">its perfect coverage amounts to</w:t>
      </w:r>
      <w:r>
        <w:t xml:space="preserve"> </w:t>
      </w:r>
      <w:r>
        <w:t xml:space="preserve">abstention. Fig. 6 shows both points,</w:t>
      </w:r>
      <w:r>
        <w:t xml:space="preserve"> </w:t>
      </w:r>
      <w:r>
        <w:t xml:space="preserve">plotting each method’s gap to nominal and shading the levels below</w:t>
      </w:r>
      <w:r>
        <w:t xml:space="preserve"> </w:t>
      </w:r>
      <m:oMath>
        <m:sSub>
          <m:e>
            <m:r>
              <m:t>α</m:t>
            </m:r>
          </m:e>
          <m:sub>
            <m:r>
              <m:rPr>
                <m:sty m:val="p"/>
              </m:rPr>
              <m:t>min</m:t>
            </m:r>
          </m:sub>
        </m:sSub>
      </m:oMath>
      <w:r>
        <w:t xml:space="preserve">.</w:t>
      </w:r>
    </w:p>
    <w:p>
      <w:pPr>
        <w:pStyle w:val="CaptionedFigure"/>
        <w:jc w:val="both"/>
      </w:pPr>
      <w:r>
        <w:drawing>
          <wp:inline>
            <wp:extent cx="5303520" cy="1669438"/>
            <wp:effectExtent b="0" l="0" r="0" t="0"/>
            <wp:docPr descr="Fig. 6. Coverage minus nominal 1-\alpha, primary backbone: B1 (mean and 2.5–97.5% range over 200 block-level splits) and B12 (mean). Shading marks MIT-BIH levels below \alpha_{\min}=1/12; vertical scales differ." title="" id="43" name="Picture"/>
            <a:graphic>
              <a:graphicData uri="http://schemas.openxmlformats.org/drawingml/2006/picture">
                <pic:pic>
                  <pic:nvPicPr>
                    <pic:cNvPr descr="figures/fig6_coverage.png" id="44" name="Picture"/>
                    <pic:cNvPicPr>
                      <a:picLocks noChangeArrowheads="1" noChangeAspect="1"/>
                    </pic:cNvPicPr>
                  </pic:nvPicPr>
                  <pic:blipFill>
                    <a:blip r:embed="rId42"/>
                    <a:stretch>
                      <a:fillRect/>
                    </a:stretch>
                  </pic:blipFill>
                  <pic:spPr bwMode="auto">
                    <a:xfrm>
                      <a:off x="0" y="0"/>
                      <a:ext cx="5303520" cy="1669438"/>
                    </a:xfrm>
                    <a:prstGeom prst="rect">
                      <a:avLst/>
                    </a:prstGeom>
                    <a:noFill/>
                    <a:ln w="9525">
                      <a:noFill/>
                      <a:headEnd/>
                      <a:tailEnd/>
                    </a:ln>
                  </pic:spPr>
                </pic:pic>
              </a:graphicData>
            </a:graphic>
          </wp:inline>
        </w:drawing>
      </w:r>
    </w:p>
    <w:p>
      <w:pPr>
        <w:pStyle w:val="ImageCaption"/>
        <w:jc w:val="both"/>
      </w:pPr>
      <w:r>
        <w:t xml:space="preserve">Fig. 6. Coverage minus nominal</w:t>
      </w:r>
      <w:r>
        <w:t xml:space="preserve"> </w:t>
      </w:r>
      <m:oMath>
        <m:r>
          <m:t>1</m:t>
        </m:r>
        <m:r>
          <m:rPr>
            <m:sty m:val="p"/>
          </m:rPr>
          <m:t>−</m:t>
        </m:r>
        <m:r>
          <m:t>α</m:t>
        </m:r>
      </m:oMath>
      <w:r>
        <w:t xml:space="preserve">, primary backbone: B1 (mean and 2.5–97.5% range over 200 block-level splits) and B12 (mean). Shading marks MIT-BIH levels below</w:t>
      </w:r>
      <w:r>
        <w:t xml:space="preserve"> </w:t>
      </w:r>
      <m:oMath>
        <m:sSub>
          <m:e>
            <m:r>
              <m:t>α</m:t>
            </m:r>
          </m:e>
          <m:sub>
            <m:r>
              <m:rPr>
                <m:sty m:val="p"/>
              </m:rPr>
              <m:t>min</m:t>
            </m:r>
          </m:sub>
        </m:sSub>
        <m:r>
          <m:rPr>
            <m:sty m:val="p"/>
          </m:rPr>
          <m:t>=</m:t>
        </m:r>
        <m:r>
          <m:t>1</m:t>
        </m:r>
        <m:r>
          <m:rPr>
            <m:sty m:val="p"/>
          </m:rPr>
          <m:t>/</m:t>
        </m:r>
        <m:r>
          <m:t>12</m:t>
        </m:r>
      </m:oMath>
      <w:r>
        <w:t xml:space="preserve">; vertical scales differ.</w:t>
      </w:r>
    </w:p>
    <w:bookmarkEnd w:id="45"/>
    <w:bookmarkStart w:id="52" w:name="attributing-the-deficit-to-dependence"/>
    <w:p>
      <w:pPr>
        <w:pStyle w:val="Heading2"/>
      </w:pPr>
      <w:r>
        <w:t xml:space="preserve">5.3 Attributing the deficit to dependence</w:t>
      </w:r>
    </w:p>
    <w:p>
      <w:pPr>
        <w:pStyle w:val="FirstParagraph"/>
        <w:jc w:val="both"/>
      </w:pPr>
      <w:r>
        <w:t xml:space="preserve">Three controls separate dependence from the other features of MIT-BIH blocks,</w:t>
      </w:r>
      <w:r>
        <w:t xml:space="preserve"> </w:t>
      </w:r>
      <w:r>
        <w:t xml:space="preserve">and Fig. 7 sketches how each one rearranges beats among records.</w:t>
      </w:r>
    </w:p>
    <w:p>
      <w:pPr>
        <w:pStyle w:val="CaptionedFigure"/>
        <w:jc w:val="both"/>
      </w:pPr>
      <w:r>
        <w:drawing>
          <wp:inline>
            <wp:extent cx="5303520" cy="1273853"/>
            <wp:effectExtent b="0" l="0" r="0" t="0"/>
            <wp:docPr descr="Fig. 7. Controls used on MIT-BIH, drawn on four illustrative records (colors mark the original record of each beat). (a) Permutation null. (b) 2×2 factorial design crossing clustering with calibration block-size balance. (c) Dose–response: a growing fraction p of beats reassigned at random." title="" id="47" name="Picture"/>
            <a:graphic>
              <a:graphicData uri="http://schemas.openxmlformats.org/drawingml/2006/picture">
                <pic:pic>
                  <pic:nvPicPr>
                    <pic:cNvPr descr="figures/fig7_control_design.png" id="48" name="Picture"/>
                    <pic:cNvPicPr>
                      <a:picLocks noChangeArrowheads="1" noChangeAspect="1"/>
                    </pic:cNvPicPr>
                  </pic:nvPicPr>
                  <pic:blipFill>
                    <a:blip r:embed="rId46"/>
                    <a:stretch>
                      <a:fillRect/>
                    </a:stretch>
                  </pic:blipFill>
                  <pic:spPr bwMode="auto">
                    <a:xfrm>
                      <a:off x="0" y="0"/>
                      <a:ext cx="5303520" cy="1273853"/>
                    </a:xfrm>
                    <a:prstGeom prst="rect">
                      <a:avLst/>
                    </a:prstGeom>
                    <a:noFill/>
                    <a:ln w="9525">
                      <a:noFill/>
                      <a:headEnd/>
                      <a:tailEnd/>
                    </a:ln>
                  </pic:spPr>
                </pic:pic>
              </a:graphicData>
            </a:graphic>
          </wp:inline>
        </w:drawing>
      </w:r>
    </w:p>
    <w:p>
      <w:pPr>
        <w:pStyle w:val="ImageCaption"/>
        <w:jc w:val="both"/>
      </w:pPr>
      <w:r>
        <w:t xml:space="preserve">Fig. 7. Controls used on MIT-BIH, drawn on four illustrative records (colors mark the original record of each beat). (a) Permutation null. (b) 2×2 factorial design crossing clustering with calibration block-size balance. (c) Dose–response: a growing fraction</w:t>
      </w:r>
      <w:r>
        <w:t xml:space="preserve"> </w:t>
      </w:r>
      <m:oMath>
        <m:r>
          <m:t>p</m:t>
        </m:r>
      </m:oMath>
      <w:r>
        <w:t xml:space="preserve"> </w:t>
      </w:r>
      <w:r>
        <w:t xml:space="preserve">of beats reassigned at random.</w:t>
      </w:r>
    </w:p>
    <w:p>
      <w:pPr>
        <w:pStyle w:val="BodyText"/>
        <w:jc w:val="both"/>
      </w:pPr>
      <w:r>
        <w:rPr>
          <w:b/>
          <w:bCs/>
        </w:rPr>
        <w:t xml:space="preserve">Permutation null.</w:t>
      </w:r>
      <w:r>
        <w:t xml:space="preserve"> </w:t>
      </w:r>
      <w:r>
        <w:t xml:space="preserve">To test whether the shortfall of B1 is attributable to</w:t>
      </w:r>
      <w:r>
        <w:t xml:space="preserve"> </w:t>
      </w:r>
      <w:r>
        <w:t xml:space="preserve">dependence, we compared it with a matched null that permutes the assignment of</w:t>
      </w:r>
      <w:r>
        <w:t xml:space="preserve"> </w:t>
      </w:r>
      <w:r>
        <w:t xml:space="preserve">beats to records within DS2. The permutation keeps</w:t>
      </w:r>
      <w:r>
        <w:t xml:space="preserve"> </w:t>
      </w:r>
      <m:oMath>
        <m:sSub>
          <m:e>
            <m:r>
              <m:t>K</m:t>
            </m:r>
          </m:e>
          <m:sub>
            <m:r>
              <m:t>1</m:t>
            </m:r>
          </m:sub>
        </m:sSub>
        <m:r>
          <m:rPr>
            <m:sty m:val="p"/>
          </m:rPr>
          <m:t>=</m:t>
        </m:r>
        <m:r>
          <m:t>11</m:t>
        </m:r>
      </m:oMath>
      <w:r>
        <w:t xml:space="preserve">, the multiset of block sizes and the</w:t>
      </w:r>
      <w:r>
        <w:t xml:space="preserve"> </w:t>
      </w:r>
      <w:r>
        <w:t xml:space="preserve">marginal score distribution unchanged, while the score ICC drops from 0.519 to</w:t>
      </w:r>
      <w:r>
        <w:t xml:space="preserve"> </w:t>
      </w:r>
      <w:r>
        <w:t xml:space="preserve">0.000. Table 6 reports the B1 deficit against this null at two levels of</w:t>
      </w:r>
      <w:r>
        <w:t xml:space="preserve"> </w:t>
      </w:r>
      <w:r>
        <w:t xml:space="preserve">uncertainty. Over 200 paired splits of the 22 DS2 records the deficit is positive</w:t>
      </w:r>
      <w:r>
        <w:t xml:space="preserve"> </w:t>
      </w:r>
      <w:r>
        <w:t xml:space="preserve">in all nine backbone×</w:t>
      </w:r>
      <m:oMath>
        <m:r>
          <m:t>α</m:t>
        </m:r>
      </m:oMath>
      <w:r>
        <w:t xml:space="preserve"> </w:t>
      </w:r>
      <w:r>
        <w:t xml:space="preserve">cells, and for the primary backbone its Monte Carlo</w:t>
      </w:r>
      <w:r>
        <w:t xml:space="preserve"> </w:t>
      </w:r>
      <w:r>
        <w:t xml:space="preserve">interval excludes zero at all three levels, but these intervals describe the</w:t>
      </w:r>
      <w:r>
        <w:t xml:space="preserve"> </w:t>
      </w:r>
      <w:r>
        <w:t xml:space="preserve">split procedure on these records only (§4.4). With records as the sampling unit,</w:t>
      </w:r>
      <w:r>
        <w:t xml:space="preserve"> </w:t>
      </w:r>
      <w:r>
        <w:t xml:space="preserve">the leave-one-record-out jackknife gives deficits of 0.60–1.83 pp with 95%</w:t>
      </w:r>
      <w:r>
        <w:t xml:space="preserve"> </w:t>
      </w:r>
      <w:r>
        <w:t xml:space="preserve">intervals of half-width 3.7–5.7 pp, all including zero (Holm-adjusted one-sided</w:t>
      </w:r>
      <w:r>
        <w:t xml:space="preserve"> </w:t>
      </w:r>
      <m:oMath>
        <m:r>
          <m:t>p</m:t>
        </m:r>
        <m:r>
          <m:rPr>
            <m:sty m:val="p"/>
          </m:rPr>
          <m:t>≥</m:t>
        </m:r>
        <m:r>
          <m:t>0.59</m:t>
        </m:r>
      </m:oMath>
      <w:r>
        <w:t xml:space="preserve">). On these 22 subjects B1 covers less than the null in every</w:t>
      </w:r>
      <w:r>
        <w:t xml:space="preserve"> </w:t>
      </w:r>
      <w:r>
        <w:t xml:space="preserve">configuration, but 22 subjects are too few to establish the sign of the deficit</w:t>
      </w:r>
      <w:r>
        <w:t xml:space="preserve"> </w:t>
      </w:r>
      <w:r>
        <w:t xml:space="preserve">for the population they represent.</w:t>
      </w:r>
    </w:p>
    <w:p>
      <w:pPr>
        <w:pStyle w:val="BodyText"/>
        <w:keepNext/>
        <w:spacing w:before="160"/>
        <w:jc w:val="left"/>
      </w:pPr>
      <w:r/>
      <w:r>
        <w:rPr>
          <w:b/>
          <w:sz w:val="18"/>
        </w:rPr>
        <w:t xml:space="preserve">Table 6. </w:t>
      </w:r>
      <w:r>
        <w:rPr>
          <w:sz w:val="18"/>
        </w:rPr>
        <w:t>MIT-BIH B1 deficit against the permutation null (pp): Monte Carlo interval over 200 paired splits of the 22 DS2 records, and record-level jackknife 95% CI with Holm-adjusted one-sided p (Table 2).</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pPr>
            <w:r>
              <w:rPr>
                <w:sz w:val="17"/>
              </w:rPr>
              <w:t xml:space="preserve">SmallECGNet</w:t>
            </w:r>
          </w:p>
        </w:tc>
        <w:tc>
          <w:tcPr/>
          <w:p>
            <w:pPr>
              <w:pStyle w:val="Compact"/>
            </w:pPr>
            <w:r>
              <w:rPr>
                <w:sz w:val="17"/>
              </w:rPr>
              <w:t xml:space="preserve">0.519</w:t>
            </w:r>
          </w:p>
        </w:tc>
        <w:tc>
          <w:tcPr/>
          <w:p>
            <w:pPr>
              <w:pStyle w:val="Compact"/>
            </w:pPr>
            <w:r>
              <w:rPr>
                <w:sz w:val="17"/>
              </w:rPr>
              <w:t xml:space="preserve">0.10</w:t>
            </w:r>
          </w:p>
        </w:tc>
        <w:tc>
          <w:tcPr/>
          <w:p>
            <w:pPr>
              <w:pStyle w:val="Compact"/>
            </w:pPr>
            <w:r>
              <w:rPr>
                <w:sz w:val="17"/>
              </w:rPr>
              <w:t xml:space="preserve">+1.49 [0.34, 2.71]</w:t>
            </w:r>
          </w:p>
        </w:tc>
        <w:tc>
          <w:tcPr/>
          <w:p>
            <w:pPr>
              <w:pStyle w:val="Compact"/>
            </w:pPr>
            <w:r>
              <w:rPr>
                <w:sz w:val="17"/>
              </w:rPr>
              <w:t xml:space="preserve">+1.26 [−2.70, +5.22]</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+2.21 [0.85, 3.60]</w:t>
            </w:r>
          </w:p>
        </w:tc>
        <w:tc>
          <w:tcPr/>
          <w:p>
            <w:pPr>
              <w:pStyle w:val="Compact"/>
            </w:pPr>
            <w:r>
              <w:rPr>
                <w:sz w:val="17"/>
              </w:rPr>
              <w:t xml:space="preserve">+1.36 [−3.21, +5.93]</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pPr>
            <w:r>
              <w:rPr>
                <w:sz w:val="17"/>
              </w:rPr>
              <w:t xml:space="preserve">ResNet1D-34</w:t>
            </w:r>
          </w:p>
        </w:tc>
        <w:tc>
          <w:tcPr/>
          <w:p>
            <w:pPr>
              <w:pStyle w:val="Compact"/>
            </w:pPr>
            <w:r>
              <w:rPr>
                <w:sz w:val="17"/>
              </w:rPr>
              <w:t xml:space="preserve">0.436</w:t>
            </w:r>
          </w:p>
        </w:tc>
        <w:tc>
          <w:tcPr/>
          <w:p>
            <w:pPr>
              <w:pStyle w:val="Compact"/>
            </w:pPr>
            <w:r>
              <w:rPr>
                <w:sz w:val="17"/>
              </w:rPr>
              <w:t xml:space="preserve">0.10</w:t>
            </w:r>
          </w:p>
        </w:tc>
        <w:tc>
          <w:tcPr/>
          <w:p>
            <w:pPr>
              <w:pStyle w:val="Compact"/>
            </w:pPr>
            <w:r>
              <w:rPr>
                <w:sz w:val="17"/>
              </w:rPr>
              <w:t xml:space="preserve">+1.15 [0.10, 2.23]</w:t>
            </w:r>
          </w:p>
        </w:tc>
        <w:tc>
          <w:tcPr/>
          <w:p>
            <w:pPr>
              <w:pStyle w:val="Compact"/>
            </w:pPr>
            <w:r>
              <w:rPr>
                <w:sz w:val="17"/>
              </w:rPr>
              <w:t xml:space="preserve">+1.55 [−2.15, +5.26]</w:t>
            </w:r>
          </w:p>
        </w:tc>
        <w:tc>
          <w:tcPr/>
          <w:p>
            <w:pPr>
              <w:pStyle w:val="Compact"/>
            </w:pPr>
            <w:r>
              <w:rPr>
                <w:sz w:val="17"/>
              </w:rPr>
              <w:t xml:space="preserve">0.59</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+1.02 [−0.16, 2.23]</w:t>
            </w:r>
          </w:p>
        </w:tc>
        <w:tc>
          <w:tcPr/>
          <w:p>
            <w:pPr>
              <w:pStyle w:val="Compact"/>
            </w:pPr>
            <w:r>
              <w:rPr>
                <w:sz w:val="17"/>
              </w:rPr>
              <w:t xml:space="preserve">+1.14 [−3.36, +5.63]</w:t>
            </w:r>
          </w:p>
        </w:tc>
        <w:tc>
          <w:tcPr/>
          <w:p>
            <w:pPr>
              <w:pStyle w:val="Compac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pPr>
            <w:r>
              <w:rPr>
                <w:sz w:val="17"/>
              </w:rPr>
              <w:t xml:space="preserve">ResNet1D-50</w:t>
            </w:r>
          </w:p>
        </w:tc>
        <w:tc>
          <w:tcPr/>
          <w:p>
            <w:pPr>
              <w:pStyle w:val="Compact"/>
            </w:pPr>
            <w:r>
              <w:rPr>
                <w:sz w:val="17"/>
              </w:rPr>
              <w:t xml:space="preserve">0.462</w:t>
            </w:r>
          </w:p>
        </w:tc>
        <w:tc>
          <w:tcPr/>
          <w:p>
            <w:pPr>
              <w:pStyle w:val="Compact"/>
            </w:pPr>
            <w:r>
              <w:rPr>
                <w:sz w:val="17"/>
              </w:rPr>
              <w:t xml:space="preserve">0.10</w:t>
            </w:r>
          </w:p>
        </w:tc>
        <w:tc>
          <w:tcPr/>
          <w:p>
            <w:pPr>
              <w:pStyle w:val="Compact"/>
            </w:pPr>
            <w:r>
              <w:rPr>
                <w:sz w:val="17"/>
              </w:rPr>
              <w:t xml:space="preserve">+2.54 [1.25, 3.87]</w:t>
            </w:r>
          </w:p>
        </w:tc>
        <w:tc>
          <w:tcPr/>
          <w:p>
            <w:pPr>
              <w:pStyle w:val="Compact"/>
            </w:pPr>
            <w:r>
              <w:rPr>
                <w:sz w:val="17"/>
              </w:rPr>
              <w:t xml:space="preserve">+1.72 [−3.70, +7.14]</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+3.42 [1.91, 4.98]</w:t>
            </w:r>
          </w:p>
        </w:tc>
        <w:tc>
          <w:tcPr/>
          <w:p>
            <w:pPr>
              <w:pStyle w:val="Compact"/>
            </w:pPr>
            <w:r>
              <w:rPr>
                <w:sz w:val="17"/>
              </w:rPr>
              <w:t xml:space="preserve">+1.83 [−3.16, +6.81]</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spacing w:before="120"/>
        <w:jc w:val="both"/>
      </w:pPr>
      <w:r>
        <w:rPr>
          <w:b/>
          <w:bCs/>
        </w:rPr>
        <w:t xml:space="preserve">Weighting.</w:t>
      </w:r>
      <w:r>
        <w:t xml:space="preserve"> </w:t>
      </w:r>
      <w:r>
        <w:t xml:space="preserve">Averaging within each test record before averaging over records,</w:t>
      </w:r>
      <w:r>
        <w:t xml:space="preserve"> </w:t>
      </w:r>
      <w:r>
        <w:t xml:space="preserve">the empirical counterpart of (2), leaves these findings intact (computed in the</w:t>
      </w:r>
      <w:r>
        <w:t xml:space="preserve"> </w:t>
      </w:r>
      <w:r>
        <w:t xml:space="preserve">all-records runs of the jackknife analysis). Block-weighted B1 coverage is below its observation-weighted</w:t>
      </w:r>
      <w:r>
        <w:t xml:space="preserve"> </w:t>
      </w:r>
      <w:r>
        <w:t xml:space="preserve">value in all nine cells, and the deficit against the null becomes 1.43–2.61 pp.</w:t>
      </w:r>
      <w:r>
        <w:t xml:space="preserve"> </w:t>
      </w:r>
      <w:r>
        <w:t xml:space="preserve">Block-weighted HCP coverage stays above</w:t>
      </w:r>
      <w:r>
        <w:t xml:space="preserve"> </w:t>
      </w:r>
      <m:oMath>
        <m:r>
          <m:t>1</m:t>
        </m:r>
        <m:r>
          <m:rPr>
            <m:sty m:val="p"/>
          </m:rPr>
          <m:t>−</m:t>
        </m:r>
        <m:r>
          <m:t>α</m:t>
        </m:r>
      </m:oMath>
      <w:r>
        <w:t xml:space="preserve"> </w:t>
      </w:r>
      <w:r>
        <w:t xml:space="preserve">for every level and backbone</w:t>
      </w:r>
      <w:r>
        <w:t xml:space="preserve"> </w:t>
      </w:r>
      <w:r>
        <w:t xml:space="preserve">(0.9531–0.9548 at</w:t>
      </w:r>
      <w:r>
        <w:t xml:space="preserve"> </w:t>
      </w:r>
      <m:oMath>
        <m:r>
          <m:t>α</m:t>
        </m:r>
        <m:r>
          <m:rPr>
            <m:sty m:val="p"/>
          </m:rPr>
          <m:t>=</m:t>
        </m:r>
        <m:r>
          <m:t>0.10</m:t>
        </m:r>
      </m:oMath>
      <w:r>
        <w:t xml:space="preserve">, 0.9146–0.9178 at 0.15 and 0.8557–0.8565 at</w:t>
      </w:r>
      <w:r>
        <w:t xml:space="preserve"> </w:t>
      </w:r>
      <w:r>
        <w:t xml:space="preserve">0.20), as guarantee (2) requires.</w:t>
      </w:r>
    </w:p>
    <w:p>
      <w:pPr>
        <w:pStyle w:val="BodyText"/>
        <w:jc w:val="both"/>
      </w:pPr>
      <w:r>
        <w:t xml:space="preserve">The same control explains why a B12-against-B1 comparison is uninformative. We</w:t>
      </w:r>
      <w:r>
        <w:t xml:space="preserve"> </w:t>
      </w:r>
      <w:r>
        <w:t xml:space="preserve">call</w:t>
      </w:r>
      <w:r>
        <w:t xml:space="preserve"> </w:t>
      </w:r>
      <w:r>
        <w:rPr>
          <w:i/>
          <w:iCs/>
        </w:rPr>
        <w:t xml:space="preserve">mechanical</w:t>
      </w:r>
      <w:r>
        <w:t xml:space="preserve"> </w:t>
      </w:r>
      <w:r>
        <w:t xml:space="preserve">the part of the B12−B1 gap that survives a null preserving block</w:t>
      </w:r>
      <w:r>
        <w:t xml:space="preserve"> </w:t>
      </w:r>
      <w:r>
        <w:t xml:space="preserve">geometry: it stems from the finite-block correction rather than from correcting</w:t>
      </w:r>
      <w:r>
        <w:t xml:space="preserve"> </w:t>
      </w:r>
      <w:r>
        <w:t xml:space="preserve">dependence, and implies no loss of validity for HCP. The mechanical share is the</w:t>
      </w:r>
      <w:r>
        <w:t xml:space="preserve"> </w:t>
      </w:r>
      <w:r>
        <w:t xml:space="preserve">gap in the permuted arm divided by the gap on the original data, so a share of</w:t>
      </w:r>
      <w:r>
        <w:t xml:space="preserve"> </w:t>
      </w:r>
      <w:r>
        <w:t xml:space="preserve">100% means that removing dependence leaves the gap unchanged. It lies between 81%</w:t>
      </w:r>
      <w:r>
        <w:t xml:space="preserve"> </w:t>
      </w:r>
      <w:r>
        <w:t xml:space="preserve">and 107% for the primary backbone, and at</w:t>
      </w:r>
      <w:r>
        <w:t xml:space="preserve"> </w:t>
      </w:r>
      <m:oMath>
        <m:r>
          <m:t>α</m:t>
        </m:r>
        <m:r>
          <m:rPr>
            <m:sty m:val="p"/>
          </m:rPr>
          <m:t>=</m:t>
        </m:r>
        <m:r>
          <m:t>0.10</m:t>
        </m:r>
      </m:oMath>
      <w:r>
        <w:t xml:space="preserve"> </w:t>
      </w:r>
      <w:r>
        <w:t xml:space="preserve">the gap is slightly wider</w:t>
      </w:r>
      <w:r>
        <w:t xml:space="preserve"> </w:t>
      </w:r>
      <w:r>
        <w:t xml:space="preserve">without dependence, because the finite-block correction pushes HCP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 The raw B12−B1 difference is</w:t>
      </w:r>
      <w:r>
        <w:t xml:space="preserve"> </w:t>
      </w:r>
      <w:r>
        <w:t xml:space="preserve">therefore no basis for claiming that HCP corrects for dependence; that criterion</w:t>
      </w:r>
      <w:r>
        <w:t xml:space="preserve"> </w:t>
      </w:r>
      <w:r>
        <w:t xml:space="preserve">was withdrawn (§6.4), and the deficit against the permutation null is the</w:t>
      </w:r>
      <w:r>
        <w:t xml:space="preserve"> </w:t>
      </w:r>
      <w:r>
        <w:t xml:space="preserve">evidence used 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(e.g. </w:t>
      </w:r>
      <m:oMath>
        <m:r>
          <m:rPr>
            <m:sty m:val="p"/>
          </m:rPr>
          <m:t>[</m:t>
        </m:r>
        <m:r>
          <m:rPr>
            <m:sty m:val="p"/>
          </m:rPr>
          <m:t>−</m:t>
        </m:r>
        <m:r>
          <m:t>1.84</m:t>
        </m:r>
        <m:r>
          <m:rPr>
            <m:sty m:val="p"/>
          </m:rPr>
          <m:t>,</m:t>
        </m:r>
        <m:r>
          <m:rPr>
            <m:sty m:val="p"/>
          </m:rPr>
          <m:t>−</m:t>
        </m:r>
        <m:r>
          <m:t>0.63</m:t>
        </m:r>
        <m:r>
          <m:rPr>
            <m:sty m:val="p"/>
          </m:rPr>
          <m:t>]</m:t>
        </m:r>
      </m:oMath>
      <w:r>
        <w:t xml:space="preserve"> </w:t>
      </w:r>
      <w:r>
        <w:t xml:space="preserve">pp at 0.10).</w:t>
      </w:r>
      <w:r>
        <w:t xml:space="preserve"> </w:t>
      </w:r>
      <w:r>
        <w:t xml:space="preserve">The imbalance main effect was smaller (−0.44, −0.26, −0.27 pp) and acted mainly</w:t>
      </w:r>
      <w:r>
        <w:t xml:space="preserve"> </w:t>
      </w:r>
      <w:r>
        <w:t xml:space="preserve">through clustering: at</w:t>
      </w:r>
      <w:r>
        <w:t xml:space="preserve"> </w:t>
      </w:r>
      <m:oMath>
        <m:r>
          <m:t>α</m:t>
        </m:r>
        <m:r>
          <m:rPr>
            <m:sty m:val="p"/>
          </m:rPr>
          <m:t>=</m:t>
        </m:r>
        <m:r>
          <m:t>0.10</m:t>
        </m:r>
      </m:oMath>
      <w:r>
        <w:t xml:space="preserve"> </w:t>
      </w:r>
      <w:r>
        <w:t xml:space="preserve">imbalance lowered coverage by 0.83 pp with</w:t>
      </w:r>
      <w:r>
        <w:t xml:space="preserve"> </w:t>
      </w:r>
      <w:r>
        <w:t xml:space="preserve">clustered records but by 0.04 pp with randomized membership (interaction</w:t>
      </w:r>
      <w:r>
        <w:t xml:space="preserve"> </w:t>
      </w:r>
      <w:r>
        <w:t xml:space="preserve">−0.79 pp; −0.54 and −0.52 pp at the other levels), as the pooled design effect in</w:t>
      </w:r>
      <w:r>
        <w:t xml:space="preserve"> </w:t>
      </w:r>
      <w:r>
        <w:t xml:space="preserve">(4),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 anticipates. Within this</w:t>
      </w:r>
      <w:r>
        <w:t xml:space="preserve"> </w:t>
      </w:r>
      <w:r>
        <w:t xml:space="preserve">design, imbalance amplifies clustering rather than producing the deficit itself.</w:t>
      </w:r>
      <w:r>
        <w:t xml:space="preserve"> </w:t>
      </w:r>
      <w:r>
        <w:t xml:space="preserve">As in Table 6, these intervals are conditional on the 22 DS2 records. Fig. 8 sets the</w:t>
      </w:r>
      <w:r>
        <w:t xml:space="preserve"> </w:t>
      </w:r>
      <w:r>
        <w:t xml:space="preserve">two controls side by side: clustering dominates in panel (a), and in panel (b) the</w:t>
      </w:r>
      <w:r>
        <w:t xml:space="preserve"> </w:t>
      </w:r>
      <w:r>
        <w:t xml:space="preserve">B12−B1 gap keeps nearly its full size once dependence is permuted away.</w:t>
      </w:r>
    </w:p>
    <w:p>
      <w:pPr>
        <w:pStyle w:val="CaptionedFigure"/>
        <w:jc w:val="both"/>
      </w:pPr>
      <w:r>
        <w:drawing>
          <wp:inline>
            <wp:extent cx="5303520" cy="1550454"/>
            <wp:effectExtent b="0" l="0" r="0" t="0"/>
            <wp:docPr descr="Fig. 8. Attribution of the MIT-BIH deficit, primary backbone. (a) Factorial effects on B1 coverage (Monte Carlo 95% intervals, 400 splits; open markers include zero). (b) B12−B1 gap on original and permuted data (whiskers: 2.5–97.5% range); percentages give the mechanical share." title="" id="50" name="Picture"/>
            <a:graphic>
              <a:graphicData uri="http://schemas.openxmlformats.org/drawingml/2006/picture">
                <pic:pic>
                  <pic:nvPicPr>
                    <pic:cNvPr descr="figures/fig8_attribution.png" id="51" name="Picture"/>
                    <pic:cNvPicPr>
                      <a:picLocks noChangeArrowheads="1" noChangeAspect="1"/>
                    </pic:cNvPicPr>
                  </pic:nvPicPr>
                  <pic:blipFill>
                    <a:blip r:embed="rId49"/>
                    <a:stretch>
                      <a:fillRect/>
                    </a:stretch>
                  </pic:blipFill>
                  <pic:spPr bwMode="auto">
                    <a:xfrm>
                      <a:off x="0" y="0"/>
                      <a:ext cx="5303520" cy="1550454"/>
                    </a:xfrm>
                    <a:prstGeom prst="rect">
                      <a:avLst/>
                    </a:prstGeom>
                    <a:noFill/>
                    <a:ln w="9525">
                      <a:noFill/>
                      <a:headEnd/>
                      <a:tailEnd/>
                    </a:ln>
                  </pic:spPr>
                </pic:pic>
              </a:graphicData>
            </a:graphic>
          </wp:inline>
        </w:drawing>
      </w:r>
    </w:p>
    <w:p>
      <w:pPr>
        <w:pStyle w:val="ImageCaption"/>
        <w:jc w:val="both"/>
      </w:pPr>
      <w:r>
        <w:t xml:space="preserve">Fig. 8. Attribution of the MIT-BIH deficit, primary backbone. (a) Factorial effects on B1 coverage (Monte Carlo 95% intervals, 400 splits; open markers include zero). (b) B12−B1 gap on original and permuted data (whiskers: 2.5–97.5% range); percentages give the mechanical share.</w:t>
      </w:r>
    </w:p>
    <w:bookmarkEnd w:id="52"/>
    <w:bookmarkStart w:id="56" w:name="the-deficit-tracks-the-design-effect"/>
    <w:p>
      <w:pPr>
        <w:pStyle w:val="Heading2"/>
      </w:pPr>
      <w:r>
        <w:t xml:space="preserve">5.4 The deficit tracks the design effect</w:t>
      </w:r>
    </w:p>
    <w:p>
      <w:pPr>
        <w:pStyle w:val="FirstParagraph"/>
        <w:jc w:val="both"/>
      </w:pPr>
      <w:r>
        <w:t xml:space="preserve">To vary dependence within one dataset, we moved a fraction</w:t>
      </w:r>
      <w:r>
        <w:t xml:space="preserve"> </w:t>
      </w:r>
      <m:oMath>
        <m:r>
          <m:t>p</m:t>
        </m:r>
      </m:oMath>
      <w:r>
        <w:t xml:space="preserve"> </w:t>
      </w:r>
      <w:r>
        <w:t xml:space="preserve">of MIT-BIH beats</w:t>
      </w:r>
      <w:r>
        <w:t xml:space="preserve"> </w:t>
      </w:r>
      <w:r>
        <w:t xml:space="preserve">to randomly chosen records and subsampled every calibration record to 1,355</w:t>
      </w:r>
      <w:r>
        <w:t xml:space="preserve"> </w:t>
      </w:r>
      <w:r>
        <w:t xml:space="preserve">beats, removing calibration-block imbalance (11 values of</w:t>
      </w:r>
      <w:r>
        <w:t xml:space="preserve"> </w:t>
      </w:r>
      <m:oMath>
        <m:r>
          <m:t>p</m:t>
        </m:r>
      </m:oMath>
      <w:r>
        <w:t xml:space="preserve">, 300 splits each;</w:t>
      </w:r>
      <w:r>
        <w:t xml:space="preserve"> </w:t>
      </w:r>
      <w:r>
        <w:t xml:space="preserve">test records used in full). Between</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t>
      </w:r>
      <w:r>
        <w:t xml:space="preserve">the score ICC drops from</w:t>
      </w:r>
      <w:r>
        <w:t xml:space="preserve"> </w:t>
      </w:r>
      <w:r>
        <w:t xml:space="preserve">0.519 to 0.0001. With equal calibration sizes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w:t>
      </w:r>
      <w:r>
        <w:t xml:space="preserve"> </w:t>
      </w:r>
      <w:r>
        <w:t xml:space="preserve">includes zero, so the evidence lies in the trend, summarized by Spearman</w:t>
      </w:r>
      <w:r>
        <w:t xml:space="preserve"> </w:t>
      </w:r>
      <w:r>
        <w:t xml:space="preserve">correlations. These replace the cross-dataset test of the initial protocol</w:t>
      </w:r>
      <w:r>
        <w:t xml:space="preserve"> </w:t>
      </w:r>
      <w:r>
        <w:t xml:space="preserve">(§6.4) and are descriptive: all points come from the same 22 records, so their</w:t>
      </w:r>
      <w:r>
        <w:t xml:space="preserve"> </w:t>
      </w:r>
      <m:oMath>
        <m:r>
          <m:t>p</m:t>
        </m:r>
      </m:oMath>
      <w:r>
        <w:t xml:space="preserve">-values, which treat points as independent, are not population inference.</w:t>
      </w:r>
      <w:r>
        <w:t xml:space="preserve"> </w:t>
      </w:r>
      <w:r>
        <w:t xml:space="preserve">The experiment is a mechanistic intervention within one dataset, not an external</w:t>
      </w:r>
      <w:r>
        <w:t xml:space="preserve"> </w:t>
      </w:r>
      <w:r>
        <w:t xml:space="preserve">validation, and its correlations order configurations without showing that the</w:t>
      </w:r>
      <w:r>
        <w:t xml:space="preserve"> </w:t>
      </w:r>
      <w:r>
        <w:t xml:space="preserve">design effect causes the deficit.</w:t>
      </w:r>
      <w:r>
        <w:t xml:space="preserve"> </w:t>
      </w:r>
      <w:r>
        <w:t xml:space="preserve">Table 7 reports the correlations on three dependence axes; within MIT-BIH the</w:t>
      </w:r>
      <w:r>
        <w:t xml:space="preserve"> </w:t>
      </w:r>
      <w:r>
        <w:t xml:space="preserve">deficit grows with ICC at all three levels.</w:t>
      </w:r>
    </w:p>
    <w:p>
      <w:pPr>
        <w:pStyle w:val="BodyText"/>
        <w:keepNext/>
        <w:spacing w:before="160"/>
        <w:jc w:val="left"/>
      </w:pPr>
      <w:r/>
      <w:r>
        <w:rPr>
          <w:b/>
          <w:sz w:val="18"/>
        </w:rPr>
        <w:t xml:space="preserve">Table 7. </w:t>
      </w:r>
      <w:r>
        <w:rPr>
          <w:sz w:val="18"/>
        </w:rPr>
        <w:t>Spearman correlation between dependence and coverage deficit (p-values treat points as independent).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762"/>
        <w:gridCol w:w="460"/>
        <w:gridCol w:w="1565"/>
        <w:gridCol w:w="1565"/>
        <w:gridCol w:w="1565"/>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spacing w:before="120"/>
        <w:jc w:val="both"/>
      </w:pPr>
      <w:r>
        <w:t xml:space="preserve">On the ICC axis alone PTB-XL does not fit: its patient-level ICC of 0.352 matches</w:t>
      </w:r>
      <w:r>
        <w:t xml:space="preserve"> </w:t>
      </w:r>
      <w:r>
        <w:t xml:space="preserve">a MIT-BIH point with a 0.35 pp deficit, yet PTB-XL shows none. The design effect</w:t>
      </w:r>
      <w:r>
        <w:t xml:space="preserve"> </w:t>
      </w:r>
      <w:r>
        <w:t xml:space="preserve">resolves this. With</w:t>
      </w:r>
      <w:r>
        <w:t xml:space="preserve"> </w:t>
      </w:r>
      <m:oMath>
        <m:r>
          <m:t>H</m:t>
        </m:r>
        <m:r>
          <m:rPr>
            <m:sty m:val="p"/>
          </m:rPr>
          <m:t>=</m:t>
        </m:r>
        <m:r>
          <m:t>1.05</m:t>
        </m:r>
      </m:oMath>
      <w:r>
        <w:t xml:space="preserve">, PTB-XL has a DEff of 1.02, against 704 for MIT-BIH</w:t>
      </w:r>
      <w:r>
        <w:t xml:space="preserve"> </w:t>
      </w:r>
      <w:r>
        <w:t xml:space="preserve">at</w:t>
      </w:r>
      <w:r>
        <w:t xml:space="preserve"> </w:t>
      </w:r>
      <m:oMath>
        <m:r>
          <m:t>p</m:t>
        </m:r>
        <m:r>
          <m:rPr>
            <m:sty m:val="p"/>
          </m:rPr>
          <m:t>=</m:t>
        </m:r>
        <m:r>
          <m:t>0</m:t>
        </m:r>
      </m:oMath>
      <w:r>
        <w:t xml:space="preserve"> </w:t>
      </w:r>
      <w:r>
        <w:t xml:space="preserve">with calibration records subsampled to 1,355 beats; on this axis the</w:t>
      </w:r>
      <w:r>
        <w:t xml:space="preserve"> </w:t>
      </w:r>
      <w:r>
        <w:t xml:space="preserve">combined correlation stays positive (0.80–0.85), and using the ICC of the coverage</w:t>
      </w:r>
      <w:r>
        <w:t xml:space="preserve"> </w:t>
      </w:r>
      <w:r>
        <w:t xml:space="preserve">indicator at a fixed threshold, the quantity in the variance of §3.2, does not</w:t>
      </w:r>
      <w:r>
        <w:t xml:space="preserve"> </w:t>
      </w:r>
      <w:r>
        <w:t xml:space="preserve">change the conclusion. DEff is a summary axis, not a sufficient statistic; an</w:t>
      </w:r>
      <w:r>
        <w:t xml:space="preserve"> </w:t>
      </w:r>
      <w:r>
        <w:t xml:space="preserve">exceedance-specific design effect is given in [21].</w:t>
      </w:r>
      <w:r>
        <w:t xml:space="preserve"> </w:t>
      </w:r>
      <w:r>
        <w:t xml:space="preserve">Fig. 9 plots the deficit against DEff: the 11 synthetic MIT-BIH configurations</w:t>
      </w:r>
      <w:r>
        <w:t xml:space="preserve"> </w:t>
      </w:r>
      <w:r>
        <w:t xml:space="preserve">carry the combined correlation, and PTB-XL, the only observed configuration,</w:t>
      </w:r>
      <w:r>
        <w:t xml:space="preserve"> </w:t>
      </w:r>
      <w:r>
        <w:t xml:space="preserve">serves as a prediction check at the low-dependence end rather than an independent</w:t>
      </w:r>
      <w:r>
        <w:t xml:space="preserve"> </w:t>
      </w:r>
      <w:r>
        <w:t xml:space="preserve">trend (§6.4), with deficits of −0.05, −0.12 and −0.16 pp, i.e. coverage slightly</w:t>
      </w:r>
      <w:r>
        <w:t xml:space="preserve"> </w:t>
      </w:r>
      <w:r>
        <w:t xml:space="preserve">above nominal.</w:t>
      </w:r>
    </w:p>
    <w:p>
      <w:pPr>
        <w:pStyle w:val="CaptionedFigure"/>
        <w:jc w:val="both"/>
      </w:pPr>
      <w:r>
        <w:drawing>
          <wp:inline>
            <wp:extent cx="3108960" cy="2277948"/>
            <wp:effectExtent b="0" l="0" r="0" t="0"/>
            <wp:docPr descr="Fig. 9. B1 coverage deficit against the design effect. MIT-BIH (blue): beats progressively reassigned between records; PTB-XL (orange): observed patient partition with Monte Carlo 95% interval. Spearman correlations over the 12 points are annotated." title="" id="54" name="Picture"/>
            <a:graphic>
              <a:graphicData uri="http://schemas.openxmlformats.org/drawingml/2006/picture">
                <pic:pic>
                  <pic:nvPicPr>
                    <pic:cNvPr descr="figures/fig9_dose_response.png" id="55" name="Picture"/>
                    <pic:cNvPicPr>
                      <a:picLocks noChangeArrowheads="1" noChangeAspect="1"/>
                    </pic:cNvPicPr>
                  </pic:nvPicPr>
                  <pic:blipFill>
                    <a:blip r:embed="rId53"/>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9. B1 coverage deficit against the design effect. MIT-BIH (blue): beats progressively reassigned between records; PTB-XL (orange): observed patient partition with Monte Carlo 95% interval. Spearman correlations over the 12 points are annotated.</w:t>
      </w:r>
    </w:p>
    <w:bookmarkEnd w:id="56"/>
    <w:bookmarkStart w:id="60"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residual networks, with about 70 and 155 times as many</w:t>
      </w:r>
      <w:r>
        <w:t xml:space="preserve"> </w:t>
      </w:r>
      <w:r>
        <w:t xml:space="preserve">parameters, improved discrimination only unevenly: MIT-BIH balanced accuracy</w:t>
      </w:r>
      <w:r>
        <w:t xml:space="preserve"> </w:t>
      </w:r>
      <w:r>
        <w:t xml:space="preserve">stayed at 0.370–0.376 and PTB-XL macro-AUROC fell slightly. As the negative</w:t>
      </w:r>
      <w:r>
        <w:t xml:space="preserve"> </w:t>
      </w:r>
      <w:r>
        <w:t xml:space="preserve">control requires,</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Table 8 gives the discrimination of the three backbones.</w:t>
      </w:r>
    </w:p>
    <w:p>
      <w:pPr>
        <w:pStyle w:val="BodyText"/>
        <w:keepNext/>
        <w:spacing w:before="160"/>
        <w:jc w:val="left"/>
      </w:pPr>
      <w:r/>
      <w:r>
        <w:rPr>
          <w:b/>
          <w:sz w:val="18"/>
        </w:rPr>
        <w:t xml:space="preserve">Table 8. </w:t>
      </w:r>
      <w:r>
        <w:rPr>
          <w:sz w:val="18"/>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716"/>
        <w:gridCol w:w="3036"/>
        <w:gridCol w:w="1056"/>
        <w:gridCol w:w="1056"/>
        <w:gridCol w:w="1056"/>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spacing w:before="120"/>
        <w:jc w:val="both"/>
      </w:pPr>
      <w:r>
        <w:t xml:space="preserve">On PTB-XL, B1 reached nominal coverage in all 9 backbone×</w:t>
      </w:r>
      <m:oMath>
        <m:r>
          <m:t>α</m:t>
        </m:r>
      </m:oMath>
      <w:r>
        <w:t xml:space="preserve"> </w:t>
      </w:r>
      <w:r>
        <w:t xml:space="preserve">cells, 0.05–0.19</w:t>
      </w:r>
      <w:r>
        <w:t xml:space="preserve"> </w:t>
      </w:r>
      <w:r>
        <w:t xml:space="preserve">pp above nominal on average. On MIT-BIH the deficit against the permutation null</w:t>
      </w:r>
      <w:r>
        <w:t xml:space="preserve"> </w:t>
      </w:r>
      <w:r>
        <w:t xml:space="preserve">is positive in all 9 cells (Table 6); its Monte Carlo interval excludes zero in</w:t>
      </w:r>
      <w:r>
        <w:t xml:space="preserve"> </w:t>
      </w:r>
      <w:r>
        <w:t xml:space="preserve">7, the exceptions being ResNet1D-34 at</w:t>
      </w:r>
      <w:r>
        <w:t xml:space="preserve"> </w:t>
      </w:r>
      <m:oMath>
        <m:r>
          <m:t>α</m:t>
        </m:r>
        <m:r>
          <m:rPr>
            <m:sty m:val="p"/>
          </m:rPr>
          <m:t>=</m:t>
        </m:r>
        <m:r>
          <m:t>0.15</m:t>
        </m:r>
      </m:oMath>
      <w:r>
        <w:t xml:space="preserve"> </w:t>
      </w:r>
      <w:r>
        <w:t xml:space="preserve">and</w:t>
      </w:r>
      <w:r>
        <w:t xml:space="preserve"> </w:t>
      </w:r>
      <m:oMath>
        <m:r>
          <m:t>0.20</m:t>
        </m:r>
      </m:oMath>
      <w:r>
        <w:t xml:space="preserve">, where the deficit</w:t>
      </w:r>
      <w:r>
        <w:t xml:space="preserve"> </w:t>
      </w:r>
      <w:r>
        <w:t xml:space="preserve">is smallest (0.81–1.02 pp), and at the record level in none. Across backbones the</w:t>
      </w:r>
      <w:r>
        <w:t xml:space="preserve"> </w:t>
      </w:r>
      <w:r>
        <w:t xml:space="preserve">mechanical share of the B12−B1 gap ranged from 75% to 110%.</w:t>
      </w:r>
    </w:p>
    <w:p>
      <w:pPr>
        <w:pStyle w:val="BodyText"/>
        <w:jc w:val="both"/>
      </w:pPr>
      <w:r>
        <w:rPr>
          <w:b/>
          <w:bCs/>
        </w:rPr>
        <w:t xml:space="preserve">Checkpoint.</w:t>
      </w:r>
      <w:r>
        <w:t xml:space="preserve"> </w:t>
      </w:r>
      <w:r>
        <w:t xml:space="preserve">With only 4 MIT-BIH validation records, early stopping chose</w:t>
      </w:r>
      <w:r>
        <w:t xml:space="preserve"> </w:t>
      </w:r>
      <w:r>
        <w:t xml:space="preserve">epoch 1 for ResNet1D-50, so we reran the audit with last-epoch weights for both</w:t>
      </w:r>
      <w:r>
        <w:t xml:space="preserve"> </w:t>
      </w:r>
      <w:r>
        <w:t xml:space="preserve">residual networks on both datasets (MIT-BIH epochs 13 vs. 8 and 6 vs. 1; PTB-XL</w:t>
      </w:r>
      <w:r>
        <w:t xml:space="preserve"> </w:t>
      </w:r>
      <w:r>
        <w:t xml:space="preserve">14 vs. 9 and 12 vs. 7). In all 16 backbone×dataset×</w:t>
      </w:r>
      <m:oMath>
        <m:r>
          <m:t>α</m:t>
        </m:r>
      </m:oMath>
      <w:r>
        <w:t xml:space="preserve"> </w:t>
      </w:r>
      <w:r>
        <w:t xml:space="preserve">cells the B1 deficit</w:t>
      </w:r>
      <w:r>
        <w:t xml:space="preserve"> </w:t>
      </w:r>
      <w:r>
        <w:t xml:space="preserve">kept its sign and</w:t>
      </w:r>
      <w:r>
        <w:t xml:space="preserve"> </w:t>
      </w:r>
      <m:oMath>
        <m:sSub>
          <m:e>
            <m:r>
              <m:t>K</m:t>
            </m:r>
          </m:e>
          <m:sub>
            <m:r>
              <m:t>1</m:t>
            </m:r>
          </m:sub>
        </m:sSub>
        <m:r>
          <m:rPr>
            <m:sty m:val="p"/>
          </m:rPr>
          <m:t>(</m:t>
        </m:r>
        <m:r>
          <m:t>ℓ</m:t>
        </m:r>
        <m:r>
          <m:rPr>
            <m:sty m:val="p"/>
          </m:rPr>
          <m:t>)</m:t>
        </m:r>
      </m:oMath>
      <w:r>
        <w:t xml:space="preserve"> </w:t>
      </w:r>
      <w:r>
        <w:t xml:space="preserve">was unchanged, but on MIT-BIH its size shifted by up</w:t>
      </w:r>
      <w:r>
        <w:t xml:space="preserve"> </w:t>
      </w:r>
      <w:r>
        <w:t xml:space="preserve">to 1.8 pp, enough to reorder the backbones, so differences in deficit size</w:t>
      </w:r>
      <w:r>
        <w:t xml:space="preserve"> </w:t>
      </w:r>
      <w:r>
        <w:t xml:space="preserve">between backbones are not interpreted. Fig. 10 summarizes both checks. Panel (a)</w:t>
      </w:r>
      <w:r>
        <w:t xml:space="preserve"> </w:t>
      </w:r>
      <w:r>
        <w:t xml:space="preserve">sets the Monte Carlo intervals of Table 6 against the record-level intervals:</w:t>
      </w:r>
      <w:r>
        <w:t xml:space="preserve"> </w:t>
      </w:r>
      <w:r>
        <w:t xml:space="preserve">the direction holds for every backbone, but only the narrower, conditional</w:t>
      </w:r>
      <w:r>
        <w:t xml:space="preserve"> </w:t>
      </w:r>
      <w:r>
        <w:t xml:space="preserve">intervals exclude zero. Panel (b) shows every cell staying in the quadrant of its</w:t>
      </w:r>
      <w:r>
        <w:t xml:space="preserve"> </w:t>
      </w:r>
      <w:r>
        <w:t xml:space="preserve">original sign under both checkpoints.</w:t>
      </w:r>
    </w:p>
    <w:p>
      <w:pPr>
        <w:pStyle w:val="CaptionedFigure"/>
        <w:jc w:val="both"/>
      </w:pPr>
      <w:r>
        <w:drawing>
          <wp:inline>
            <wp:extent cx="5303520" cy="1765149"/>
            <wp:effectExtent b="0" l="0" r="0" t="0"/>
            <wp:docPr descr="Fig. 10. Robustness. (a) MIT-BIH B1 deficit against the permutation null by backbone and \alpha: Monte Carlo 95% interval (200 splits; open markers include zero) and record-level jackknife 95% CI (light bars). (b) B1 coverage minus nominal under best-validation versus last-epoch weights, 16 cells; shaded quadrants mark sign agreement." title="" id="58" name="Picture"/>
            <a:graphic>
              <a:graphicData uri="http://schemas.openxmlformats.org/drawingml/2006/picture">
                <pic:pic>
                  <pic:nvPicPr>
                    <pic:cNvPr descr="figures/fig10_robustness.png" id="59" name="Picture"/>
                    <pic:cNvPicPr>
                      <a:picLocks noChangeArrowheads="1" noChangeAspect="1"/>
                    </pic:cNvPicPr>
                  </pic:nvPicPr>
                  <pic:blipFill>
                    <a:blip r:embed="rId57"/>
                    <a:stretch>
                      <a:fillRect/>
                    </a:stretch>
                  </pic:blipFill>
                  <pic:spPr bwMode="auto">
                    <a:xfrm>
                      <a:off x="0" y="0"/>
                      <a:ext cx="5303520" cy="1765149"/>
                    </a:xfrm>
                    <a:prstGeom prst="rect">
                      <a:avLst/>
                    </a:prstGeom>
                    <a:noFill/>
                    <a:ln w="9525">
                      <a:noFill/>
                      <a:headEnd/>
                      <a:tailEnd/>
                    </a:ln>
                  </pic:spPr>
                </pic:pic>
              </a:graphicData>
            </a:graphic>
          </wp:inline>
        </w:drawing>
      </w:r>
    </w:p>
    <w:p>
      <w:pPr>
        <w:pStyle w:val="ImageCaption"/>
        <w:jc w:val="both"/>
      </w:pPr>
      <w:r>
        <w:t xml:space="preserve">Fig. 10. Robustness. (a) MIT-BIH B1 deficit against the permutation null by backbone and</w:t>
      </w:r>
      <w:r>
        <w:t xml:space="preserve"> </w:t>
      </w:r>
      <m:oMath>
        <m:r>
          <m:t>α</m:t>
        </m:r>
      </m:oMath>
      <w:r>
        <w:t xml:space="preserve">: Monte Carlo 95% interval (200 splits; open markers include zero) and record-level jackknife 95% CI (light bars). (b) B1 coverage minus nominal under best-validation versus last-epoch weights, 16 cells; shaded quadrants mark sign agreement.</w:t>
      </w:r>
    </w:p>
    <w:bookmarkEnd w:id="60"/>
    <w:bookmarkEnd w:id="61"/>
    <w:bookmarkStart w:id="66" w:name="discussion"/>
    <w:p>
      <w:pPr>
        <w:pStyle w:val="Heading1"/>
      </w:pPr>
      <w:r>
        <w:t xml:space="preserve">6. Discussion</w:t>
      </w:r>
    </w:p>
    <w:bookmarkStart w:id="62" w:name="main-findings"/>
    <w:p>
      <w:pPr>
        <w:pStyle w:val="Heading2"/>
      </w:pPr>
      <w:r>
        <w:t xml:space="preserve">6.1 Main findings</w:t>
      </w:r>
    </w:p>
    <w:p>
      <w:pPr>
        <w:pStyle w:val="FirstParagraph"/>
        <w:jc w:val="both"/>
      </w:pPr>
      <w:r>
        <w:t xml:space="preserve">The audit separates two questions that are usually merged: can a block-level</w:t>
      </w:r>
      <w:r>
        <w:t xml:space="preserve"> </w:t>
      </w:r>
      <w:r>
        <w:t xml:space="preserve">coverage guarantee be</w:t>
      </w:r>
      <w:r>
        <w:t xml:space="preserve"> </w:t>
      </w:r>
      <w:r>
        <w:rPr>
          <w:i/>
          <w:iCs/>
        </w:rPr>
        <w:t xml:space="preserve">enforced</w:t>
      </w:r>
      <w:r>
        <w:t xml:space="preserve"> </w:t>
      </w:r>
      <w:r>
        <w:t xml:space="preserve">on a clinical dataset, and does ignoring block</w:t>
      </w:r>
      <w:r>
        <w:t xml:space="preserve"> </w:t>
      </w:r>
      <w:r>
        <w:t xml:space="preserve">structure</w:t>
      </w:r>
      <w:r>
        <w:t xml:space="preserve"> </w:t>
      </w:r>
      <w:r>
        <w:rPr>
          <w:i/>
          <w:iCs/>
        </w:rPr>
        <w:t xml:space="preserve">cost</w:t>
      </w:r>
      <w:r>
        <w:t xml:space="preserve"> </w:t>
      </w:r>
      <w:r>
        <w:t xml:space="preserve">coverage when it is not? The first is combinatorial and settled</w:t>
      </w:r>
      <w:r>
        <w:t xml:space="preserve"> </w:t>
      </w:r>
      <w:r>
        <w:t xml:space="preserve">by metadata, and on the resources audited the answer is stricter than their size</w:t>
      </w:r>
      <w:r>
        <w:t xml:space="preserve"> </w:t>
      </w:r>
      <w:r>
        <w:t xml:space="preserve">suggests: declared sources collapse under the join, rare labels are spread over</w:t>
      </w:r>
      <w:r>
        <w:t xml:space="preserve"> </w:t>
      </w:r>
      <w:r>
        <w:t xml:space="preserve">few patients (§5.1), and an even split of the 22 MIT-BIH evaluation subjects</w:t>
      </w:r>
      <w:r>
        <w:t xml:space="preserve"> </w:t>
      </w:r>
      <w:r>
        <w:t xml:space="preserve">leaves</w:t>
      </w:r>
      <w:r>
        <w:t xml:space="preserve"> </w:t>
      </w:r>
      <m:oMath>
        <m:sSub>
          <m:e>
            <m:r>
              <m:t>K</m:t>
            </m:r>
          </m:e>
          <m:sub>
            <m:r>
              <m:t>1</m:t>
            </m:r>
          </m:sub>
        </m:sSub>
        <m:r>
          <m:rPr>
            <m:sty m:val="p"/>
          </m:rPr>
          <m:t>=</m:t>
        </m:r>
        <m:r>
          <m:t>11</m:t>
        </m:r>
      </m:oMath>
      <w:r>
        <w:t xml:space="preserve">, too few for a subject-level guarantee at the 95% level whatever</w:t>
      </w:r>
      <w:r>
        <w:t xml:space="preserve"> </w:t>
      </w:r>
      <w:r>
        <w:t xml:space="preserve">the model and however many beats each record holds.</w:t>
      </w:r>
    </w:p>
    <w:p>
      <w:pPr>
        <w:pStyle w:val="BodyText"/>
        <w:jc w:val="both"/>
      </w:pPr>
      <w:r>
        <w:t xml:space="preserve">The second question is statistical, and on the two resources audited its answer</w:t>
      </w:r>
      <w:r>
        <w:t xml:space="preserve"> </w:t>
      </w:r>
      <w:r>
        <w:t xml:space="preserve">depended more on how many repeats blocks contain than on how strongly their</w:t>
      </w:r>
      <w:r>
        <w:t xml:space="preserve"> </w:t>
      </w:r>
      <w:r>
        <w:t xml:space="preserve">observations correlate (§5.3–§5.4). PTB-XL shows this most clearly: its</w:t>
      </w:r>
      <w:r>
        <w:t xml:space="preserve"> </w:t>
      </w:r>
      <w:r>
        <w:t xml:space="preserve">within-patient correlation seems to call for block-level calibration, yet with</w:t>
      </w:r>
      <w:r>
        <w:t xml:space="preserve"> </w:t>
      </w:r>
      <m:oMath>
        <m:r>
          <m:t>H</m:t>
        </m:r>
        <m:r>
          <m:rPr>
            <m:sty m:val="p"/>
          </m:rPr>
          <m:t>=</m:t>
        </m:r>
        <m:r>
          <m:t>1.05</m:t>
        </m:r>
      </m:oMath>
      <w:r>
        <w:t xml:space="preserve"> </w:t>
      </w:r>
      <w:r>
        <w:t xml:space="preserve">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for any</w:t>
      </w:r>
      <w:r>
        <w:t xml:space="preserve"> </w:t>
      </w:r>
      <m:oMath>
        <m:r>
          <m:t>ρ</m:t>
        </m:r>
      </m:oMath>
      <w:r>
        <w:t xml:space="preserve">, correctly</w:t>
      </w:r>
      <w:r>
        <w:t xml:space="preserve"> </w:t>
      </w:r>
      <w:r>
        <w:t xml:space="preserve">predicting that such calibration is unnecessary for marginal coverage at these</w:t>
      </w:r>
      <w:r>
        <w:t xml:space="preserve"> </w:t>
      </w:r>
      <w:r>
        <w:t xml:space="preserve">levels. Neither quantity belongs to the dataset alone, since</w:t>
      </w:r>
      <w:r>
        <w:t xml:space="preserve"> </w:t>
      </w:r>
      <m:oMath>
        <m:sSub>
          <m:e>
            <m:r>
              <m:t>K</m:t>
            </m:r>
          </m:e>
          <m:sub>
            <m:r>
              <m:t>1</m:t>
            </m:r>
          </m:sub>
        </m:sSub>
      </m:oMath>
      <w:r>
        <w:t xml:space="preserve"> </w:t>
      </w:r>
      <w:r>
        <w:t xml:space="preserve">depends on the</w:t>
      </w:r>
      <w:r>
        <w:t xml:space="preserve"> </w:t>
      </w:r>
      <w:r>
        <w:t xml:space="preserve">split design and</w:t>
      </w:r>
      <w:r>
        <w:t xml:space="preserve"> </w:t>
      </w:r>
      <m:oMath>
        <m:r>
          <m:t>ρ</m:t>
        </m:r>
      </m:oMath>
      <w:r>
        <w:t xml:space="preserve"> </w:t>
      </w:r>
      <w:r>
        <w:t xml:space="preserve">on the model (§4.1). The two questions also meet. On</w:t>
      </w:r>
      <w:r>
        <w:t xml:space="preserve"> </w:t>
      </w:r>
      <w:r>
        <w:t xml:space="preserve">MIT-BIH the deficit keeps its sign across backbones, levels and splits, yet a</w:t>
      </w:r>
      <w:r>
        <w:t xml:space="preserve"> </w:t>
      </w:r>
      <w:r>
        <w:t xml:space="preserve">jackknife over the 22 subjects cannot resolve it (§5.3): the scarcity of blocks</w:t>
      </w:r>
      <w:r>
        <w:t xml:space="preserve"> </w:t>
      </w:r>
      <w:r>
        <w:t xml:space="preserve">that bounds the guarantee also bounds what an audit of the same subjects can</w:t>
      </w:r>
      <w:r>
        <w:t xml:space="preserve"> </w:t>
      </w:r>
      <w:r>
        <w:t xml:space="preserve">establish.</w:t>
      </w:r>
    </w:p>
    <w:bookmarkEnd w:id="62"/>
    <w:bookmarkStart w:id="63"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rather than ECG. HCP seems</w:t>
      </w:r>
      <w:r>
        <w:t xml:space="preserve"> </w:t>
      </w:r>
      <w:r>
        <w:t xml:space="preserve">to</w:t>
      </w:r>
      <w:r>
        <w:t xml:space="preserve"> </w:t>
      </w:r>
      <w:r>
        <w:t xml:space="preserve">“restore”</w:t>
      </w:r>
      <w:r>
        <w:t xml:space="preserve"> </w:t>
      </w:r>
      <w:r>
        <w:t xml:space="preserve">the coverage that naive split conformal loses, but 75–110% of the</w:t>
      </w:r>
      <w:r>
        <w:t xml:space="preserve"> </w:t>
      </w:r>
      <w:r>
        <w:t xml:space="preserve">difference persists once within-block dependence is permuted away (§5.3, §5.5).</w:t>
      </w:r>
      <w:r>
        <w:t xml:space="preserve"> </w:t>
      </w:r>
      <w:r>
        <w:t xml:space="preserve">The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 higher empirical quantile</w:t>
      </w:r>
      <w:r>
        <w:t xml:space="preserve"> </w:t>
      </w:r>
      <w:r>
        <w:t xml:space="preserve">regardless of dependence, and when</w:t>
      </w:r>
      <w:r>
        <w:t xml:space="preserve"> </w:t>
      </w:r>
      <m:oMath>
        <m:sSub>
          <m:e>
            <m:r>
              <m:t>K</m:t>
            </m:r>
          </m:e>
          <m:sub>
            <m:r>
              <m:t>1</m:t>
            </m:r>
          </m:sub>
        </m:sSub>
      </m:oMath>
      <w:r>
        <w:t xml:space="preserve"> </w:t>
      </w:r>
      <w:r>
        <w:t xml:space="preserve">is small, exactly where block-level</w:t>
      </w:r>
      <w:r>
        <w:t xml:space="preserve"> </w:t>
      </w:r>
      <w:r>
        <w:t xml:space="preserve">calibration matters, this mechanical inflation dominates; below</w:t>
      </w:r>
      <w:r>
        <w:t xml:space="preserve"> </w:t>
      </w:r>
      <m:oMath>
        <m:sSub>
          <m:e>
            <m:r>
              <m:t>α</m:t>
            </m:r>
          </m:e>
          <m:sub>
            <m:r>
              <m:rPr>
                <m:sty m:val="p"/>
              </m:rPr>
              <m:t>min</m:t>
            </m:r>
          </m:sub>
        </m:sSub>
      </m:oMath>
      <w:r>
        <w:t xml:space="preserve"> </w:t>
      </w:r>
      <w:r>
        <w:t xml:space="preserve">HCP simply returns every label (Fig. 6). Claims that a hierarchical method</w:t>
      </w:r>
      <w:r>
        <w:t xml:space="preserve"> </w:t>
      </w:r>
      <w:r>
        <w:t xml:space="preserve">improves coverage should be tested against a null that keeps block sizes and</w:t>
      </w:r>
      <w:r>
        <w:t xml:space="preserve"> </w:t>
      </w:r>
      <w:r>
        <w:t xml:space="preserve">score marginals but removes dependence, and coverage should always come with set</w:t>
      </w:r>
      <w:r>
        <w:t xml:space="preserve"> </w:t>
      </w:r>
      <w:r>
        <w:t xml:space="preserve">size, abstention being the cheapest route to coverage.</w:t>
      </w:r>
    </w:p>
    <w:p>
      <w:pPr>
        <w:pStyle w:val="BodyText"/>
        <w:jc w:val="both"/>
      </w:pPr>
      <w:r>
        <w:t xml:space="preserve">The second pitfall concerns uncertainty. Conformal methods are often evaluated</w:t>
      </w:r>
      <w:r>
        <w:t xml:space="preserve"> </w:t>
      </w:r>
      <w:r>
        <w:t xml:space="preserve">over many random calibration–test splits of one dataset, but with clustered data</w:t>
      </w:r>
      <w:r>
        <w:t xml:space="preserve"> </w:t>
      </w:r>
      <w:r>
        <w:t xml:space="preserve">those splits reuse the same subjects, so the resulting interval describes the</w:t>
      </w:r>
      <w:r>
        <w:t xml:space="preserve"> </w:t>
      </w:r>
      <w:r>
        <w:t xml:space="preserve">split procedure on those subjects and shrinks as splits are added. On MIT-BIH</w:t>
      </w:r>
      <w:r>
        <w:t xml:space="preserve"> </w:t>
      </w:r>
      <w:r>
        <w:t xml:space="preserve">this decides the reading: repeated-split intervals exclude zero in most cells of</w:t>
      </w:r>
      <w:r>
        <w:t xml:space="preserve"> </w:t>
      </w:r>
      <w:r>
        <w:t xml:space="preserve">Table 6, while the jackknife over the same 22 subjects includes zero in all.</w:t>
      </w:r>
      <w:r>
        <w:t xml:space="preserve"> </w:t>
      </w:r>
      <w:r>
        <w:t xml:space="preserve">Population claims should resample subjects, and with few subjects the honest</w:t>
      </w:r>
      <w:r>
        <w:t xml:space="preserve"> </w:t>
      </w:r>
      <w:r>
        <w:t xml:space="preserve">conclusion may be that the sign of a coverage gap is not yet known.</w:t>
      </w:r>
    </w:p>
    <w:bookmarkEnd w:id="63"/>
    <w:bookmarkStart w:id="64" w:name="implications-and-relation-to-prior-work"/>
    <w:p>
      <w:pPr>
        <w:pStyle w:val="Heading2"/>
      </w:pPr>
      <w:r>
        <w:t xml:space="preserve">6.3 Implications and relation to prior work</w:t>
      </w:r>
    </w:p>
    <w:p>
      <w:pPr>
        <w:pStyle w:val="FirstParagraph"/>
        <w:jc w:val="both"/>
      </w:pPr>
      <w:r>
        <w:t xml:space="preserve">A study that plans to attach distribution-free guarantees to an ECG classifier</w:t>
      </w:r>
      <w:r>
        <w:t xml:space="preserve"> </w:t>
      </w:r>
      <w:r>
        <w:t xml:space="preserve">can run four checks before collecting or splitting data:</w:t>
      </w:r>
    </w:p>
    <w:p>
      <w:pPr>
        <w:pStyle w:val="Compact"/>
        <w:numPr>
          <w:ilvl w:val="0"/>
          <w:numId w:val="1001"/>
        </w:numPr>
      </w:pPr>
      <w:r>
        <w:rPr>
          <w:b/>
          <w:bCs/>
        </w:rPr>
        <w:t xml:space="preserve">Declare dependence sources</w:t>
      </w:r>
      <w:r>
        <w:t xml:space="preserve"> </w:t>
      </w:r>
      <w:r>
        <w:t xml:space="preserve">(patient, device, site, operator, monitoring</w:t>
      </w:r>
      <w:r>
        <w:t xml:space="preserve"> </w:t>
      </w:r>
      <w:r>
        <w:t xml:space="preserve">episode) and check that each is documented; if one is not, as with patient</w:t>
      </w:r>
      <w:r>
        <w:t xml:space="preserve"> </w:t>
      </w:r>
      <w:r>
        <w:t xml:space="preserve">identity in Challenge 2021, the block count is an assumption.</w:t>
      </w:r>
    </w:p>
    <w:p>
      <w:pPr>
        <w:pStyle w:val="Compact"/>
        <w:numPr>
          <w:ilvl w:val="0"/>
          <w:numId w:val="1001"/>
        </w:numPr>
      </w:pPr>
      <w:r>
        <w:rPr>
          <w:b/>
          <w:bCs/>
        </w:rPr>
        <w:t xml:space="preserve">Count blocks, not records</w:t>
      </w:r>
      <w:r>
        <w:t xml:space="preserve">, under the grouping that respects all declared</w:t>
      </w:r>
      <w:r>
        <w:t xml:space="preserve"> </w:t>
      </w:r>
      <w:r>
        <w:t xml:space="preserve">sources, and compare the count with</w:t>
      </w:r>
      <w:r>
        <w:t xml:space="preserve"> </w:t>
      </w:r>
      <m:oMath>
        <m:sSub>
          <m:e>
            <m:r>
              <m:t>K</m:t>
            </m:r>
          </m:e>
          <m:sub>
            <m:r>
              <m:rPr>
                <m:sty m:val="p"/>
              </m:rPr>
              <m:t>min</m:t>
            </m:r>
          </m:sub>
        </m:sSub>
        <m:r>
          <m:rPr>
            <m:sty m:val="p"/>
          </m:rPr>
          <m:t>(</m:t>
        </m:r>
        <m:r>
          <m:t>α</m:t>
        </m:r>
        <m:r>
          <m:rPr>
            <m:sty m:val="p"/>
          </m:rPr>
          <m:t>)</m:t>
        </m:r>
      </m:oMath>
      <w:r>
        <w:t xml:space="preserve"> </w:t>
      </w:r>
      <w:r>
        <w:t xml:space="preserve">of Corollary 1.</w:t>
      </w:r>
    </w:p>
    <w:p>
      <w:pPr>
        <w:pStyle w:val="Compact"/>
        <w:numPr>
          <w:ilvl w:val="0"/>
          <w:numId w:val="1001"/>
        </w:numPr>
      </w:pPr>
      <w:r>
        <w:rPr>
          <w:b/>
          <w:bCs/>
        </w:rPr>
        <w:t xml:space="preserve">Repeat the count per label</w:t>
      </w:r>
      <w:r>
        <w:t xml:space="preserve"> </w:t>
      </w:r>
      <w:r>
        <w:t xml:space="preserve">for label-conditional claims, with</w:t>
      </w:r>
      <w:r>
        <w:t xml:space="preserve"> </w:t>
      </w:r>
      <m:oMath>
        <m:r>
          <m:t>α</m:t>
        </m:r>
      </m:oMath>
      <w:r>
        <w:t xml:space="preserve"> </w:t>
      </w:r>
      <w:r>
        <w:t xml:space="preserve">divided by the number</w:t>
      </w:r>
      <w:r>
        <w:t xml:space="preserve"> </w:t>
      </w:r>
      <m:oMath>
        <m:r>
          <m:t>m</m:t>
        </m:r>
      </m:oMath>
      <w:r>
        <w:t xml:space="preserve"> </w:t>
      </w:r>
      <w:r>
        <w:t xml:space="preserve">of labels claimed simultaneously; rare diagnoses</w:t>
      </w:r>
      <w:r>
        <w:t xml:space="preserve"> </w:t>
      </w:r>
      <w:r>
        <w:t xml:space="preserve">usually fail first.</w:t>
      </w:r>
    </w:p>
    <w:p>
      <w:pPr>
        <w:pStyle w:val="Compact"/>
        <w:numPr>
          <w:ilvl w:val="0"/>
          <w:numId w:val="1001"/>
        </w:numPr>
      </w:pPr>
      <w:r>
        <w:rPr>
          <w:b/>
          <w:bCs/>
        </w:rPr>
        <w:t xml:space="preserve">Estimate repetition</w:t>
      </w:r>
      <w:r>
        <w:t xml:space="preserve"> </w:t>
      </w:r>
      <w:r>
        <w:t xml:space="preserve">through the harmonic mean block size before deciding</w:t>
      </w:r>
      <w:r>
        <w:t xml:space="preserve"> </w:t>
      </w:r>
      <w:r>
        <w:t xml:space="preserve">whether marginal coverage needs block-level calibration.</w:t>
      </w:r>
    </w:p>
    <w:p>
      <w:pPr>
        <w:pStyle w:val="FirstParagraph"/>
        <w:jc w:val="both"/>
      </w:pPr>
      <w:r>
        <w:t xml:space="preserve">The same arithmetic applies whenever coverage is conditioned on patient groups:</w:t>
      </w:r>
      <w:r>
        <w:t xml:space="preserve"> </w:t>
      </w:r>
      <w:r>
        <w:t xml:space="preserve">once group-conditional calibration, for instance across demographic groups, must</w:t>
      </w:r>
      <w:r>
        <w:t xml:space="preserve"> </w:t>
      </w:r>
      <w:r>
        <w:t xml:space="preserve">also respect patient blocks, a group with few calibration patients faces the same</w:t>
      </w:r>
      <w:r>
        <w:t xml:space="preserve"> </w:t>
      </w:r>
      <w:r>
        <w:t xml:space="preserve">bound as a rare label. Settings with thousands of blocks, such as patients nested</w:t>
      </w:r>
      <w:r>
        <w:t xml:space="preserve"> </w:t>
      </w:r>
      <w:r>
        <w:t xml:space="preserve">in hospitals [29], lie far from this boundary, which is why it is easy to miss.</w:t>
      </w:r>
      <w:r>
        <w:t xml:space="preserve"> </w:t>
      </w:r>
      <w:r>
        <w:t xml:space="preserve">The inter-patient protocol prevents subject-level leakage [24], [26], [25], but</w:t>
      </w:r>
      <w:r>
        <w:t xml:space="preserve"> </w:t>
      </w:r>
      <w:r>
        <w:t xml:space="preserve">a split that is inter-patient for training can still leave too few subjects in</w:t>
      </w:r>
      <w:r>
        <w:t xml:space="preserve"> </w:t>
      </w:r>
      <w:r>
        <w:t xml:space="preserve">calibration.</w:t>
      </w:r>
    </w:p>
    <w:p>
      <w:pPr>
        <w:pStyle w:val="BodyText"/>
        <w:jc w:val="both"/>
      </w:pPr>
      <w:r>
        <w:t xml:space="preserve">For the design trade-off left open by Lee et al. [12], our results address the</w:t>
      </w:r>
      <w:r>
        <w:t xml:space="preserve"> </w:t>
      </w:r>
      <w:r>
        <w:t xml:space="preserve">most elementary part for HCP: whether a finite threshold exists depends only on</w:t>
      </w:r>
      <w:r>
        <w:t xml:space="preserve"> </w:t>
      </w:r>
      <w:r>
        <w:t xml:space="preserve">the number of blocks (Proposition 1), as the group-count conditions of Dunn et</w:t>
      </w:r>
      <w:r>
        <w:t xml:space="preserve"> </w:t>
      </w:r>
      <w:r>
        <w:t xml:space="preserve">al. do for their constructions [13]. With blocks in place of points, the bound</w:t>
      </w:r>
      <w:r>
        <w:t xml:space="preserve"> </w:t>
      </w:r>
      <w:r>
        <w:t xml:space="preserve">plays the role of the minimum calibration size that the universal coverage</w:t>
      </w:r>
      <w:r>
        <w:t xml:space="preserve"> </w:t>
      </w:r>
      <w:r>
        <w:t xml:space="preserve">distribution of split conformal prediction implies for exchangeable data [35];</w:t>
      </w:r>
      <w:r>
        <w:t xml:space="preserve"> </w:t>
      </w:r>
      <w:r>
        <w:t xml:space="preserve">and, as for rare classes under exchangeability [34], the count that matters per</w:t>
      </w:r>
      <w:r>
        <w:t xml:space="preserve"> </w:t>
      </w:r>
      <w:r>
        <w:t xml:space="preserve">label is that of blocks carrying it, under a necessary but not sufficient</w:t>
      </w:r>
      <w:r>
        <w:t xml:space="preserve"> </w:t>
      </w:r>
      <w:r>
        <w:t xml:space="preserve">condition (§3.4). The findings agree with Sim and Kim [10], who established for</w:t>
      </w:r>
      <w:r>
        <w:t xml:space="preserve"> </w:t>
      </w:r>
      <w:r>
        <w:t xml:space="preserve">ECG monitoring that subjects, not beats, carry the guarantee, that at least 19</w:t>
      </w:r>
      <w:r>
        <w:t xml:space="preserve"> </w:t>
      </w:r>
      <w:r>
        <w:t xml:space="preserve">calibration subjects are needed at</w:t>
      </w:r>
      <w:r>
        <w:t xml:space="preserve"> </w:t>
      </w:r>
      <m:oMath>
        <m:r>
          <m:t>α</m:t>
        </m:r>
        <m:r>
          <m:rPr>
            <m:sty m:val="p"/>
          </m:rPr>
          <m:t>=</m:t>
        </m:r>
        <m:r>
          <m:t>0.05</m:t>
        </m:r>
      </m:oMath>
      <w:r>
        <w:t xml:space="preserve">, and that MIT-BIH splits leave</w:t>
      </w:r>
      <w:r>
        <w:t xml:space="preserve"> </w:t>
      </w:r>
      <w:r>
        <w:t xml:space="preserve">too few. The present audit extends that reasoning to HCP under crossed dependence</w:t>
      </w:r>
      <w:r>
        <w:t xml:space="preserve"> </w:t>
      </w:r>
      <w:r>
        <w:t xml:space="preserve">sources and per diagnostic label, evaluates it from metadata on three resources,</w:t>
      </w:r>
      <w:r>
        <w:t xml:space="preserve"> </w:t>
      </w:r>
      <w:r>
        <w:t xml:space="preserve">and separates dependence from block-size imbalance and from the mechanical effect</w:t>
      </w:r>
      <w:r>
        <w:t xml:space="preserve"> </w:t>
      </w:r>
      <w:r>
        <w:t xml:space="preserve">of the finite-block correction. Evidence that marginal coverage can mask per-class and</w:t>
      </w:r>
      <w:r>
        <w:t xml:space="preserve"> </w:t>
      </w:r>
      <w:r>
        <w:t xml:space="preserve">per-patient failures in cardiac monitoring [9] matches the label-level boundary</w:t>
      </w:r>
      <w:r>
        <w:t xml:space="preserve"> </w:t>
      </w:r>
      <w:r>
        <w:t xml:space="preserve">of §5.1. Risk-control extensions [27] and time-series variants [28] rest on</w:t>
      </w:r>
      <w:r>
        <w:t xml:space="preserve"> </w:t>
      </w:r>
      <w:r>
        <w:t xml:space="preserve">related exchangeability or stationarity assumptions; whether their block-level</w:t>
      </w:r>
      <w:r>
        <w:t xml:space="preserve"> </w:t>
      </w:r>
      <w:r>
        <w:t xml:space="preserve">versions meet the same boundary is open.</w:t>
      </w:r>
    </w:p>
    <w:bookmarkEnd w:id="64"/>
    <w:bookmarkStart w:id="65" w:name="limitations-and-threats-to-validity"/>
    <w:p>
      <w:pPr>
        <w:pStyle w:val="Heading2"/>
      </w:pPr>
      <w:r>
        <w:t xml:space="preserve">6.4 Limitations and threats to validity</w:t>
      </w:r>
    </w:p>
    <w:p>
      <w:pPr>
        <w:pStyle w:val="FirstParagraph"/>
      </w:pPr>
      <w:r>
        <w:t xml:space="preserve">The audit concerns marginal and label-wise coverage for one method family.</w:t>
      </w:r>
    </w:p>
    <w:p>
      <w:pPr>
        <w:pStyle w:val="BodyText"/>
        <w:jc w:val="both"/>
      </w:pPr>
      <w:r>
        <w:rPr>
          <w:b/>
          <w:bCs/>
        </w:rPr>
        <w:t xml:space="preserve">Internal validity.</w:t>
      </w:r>
      <w:r>
        <w:t xml:space="preserve"> </w:t>
      </w:r>
      <w:r>
        <w:t xml:space="preserve">Only 64–68% of PTB-XL records in folds 1–8 were validated</w:t>
      </w:r>
      <w:r>
        <w:t xml:space="preserve"> </w:t>
      </w:r>
      <w:r>
        <w:t xml:space="preserve">by cardiologists, against 100% in folds 9 and 10. An early version that</w:t>
      </w:r>
      <w:r>
        <w:t xml:space="preserve"> </w:t>
      </w:r>
      <w:r>
        <w:t xml:space="preserve">calibrated on fold 8 and evaluated on fold 9 showed an apparent deficit of 1.43</w:t>
      </w:r>
      <w:r>
        <w:t xml:space="preserve"> </w:t>
      </w:r>
      <w:r>
        <w:t xml:space="preserve">percentage points at</w:t>
      </w:r>
      <w:r>
        <w:t xml:space="preserve"> </w:t>
      </w:r>
      <m:oMath>
        <m:r>
          <m:t>α</m:t>
        </m:r>
        <m:r>
          <m:rPr>
            <m:sty m:val="p"/>
          </m:rPr>
          <m:t>=</m:t>
        </m:r>
        <m:r>
          <m:t>0.05</m:t>
        </m:r>
      </m:oMath>
      <w:r>
        <w:t xml:space="preserve">, which proved to reflect label quality rather</w:t>
      </w:r>
      <w:r>
        <w:t xml:space="preserve"> </w:t>
      </w:r>
      <w:r>
        <w:t xml:space="preserve">than block dependence; all analyses therefore use fold 9, and fold 10</w:t>
      </w:r>
      <w:r>
        <w:t xml:space="preserve"> </w:t>
      </w:r>
      <w:r>
        <w:t xml:space="preserve">remains unexamined. Each data-handling choice in §4.1 guards against a silent</w:t>
      </w:r>
      <w:r>
        <w:t xml:space="preserve"> </w:t>
      </w:r>
      <w:r>
        <w:t xml:space="preserve">failure, and no preprocessing step uses quantities estimated from evaluation</w:t>
      </w:r>
      <w:r>
        <w:t xml:space="preserve"> </w:t>
      </w:r>
      <w:r>
        <w:t xml:space="preserve">data: the filter is fixed and normalization is per record or per beat.</w:t>
      </w:r>
    </w:p>
    <w:p>
      <w:pPr>
        <w:pStyle w:val="BodyText"/>
        <w:jc w:val="both"/>
      </w:pPr>
      <w:r>
        <w:rPr>
          <w:b/>
          <w:bCs/>
        </w:rPr>
        <w:t xml:space="preserve">Construct validity.</w:t>
      </w:r>
      <w:r>
        <w:t xml:space="preserve"> </w:t>
      </w:r>
      <w:r>
        <w:t xml:space="preserve">MIT-BIH class Q has 15 beats, 7 of them in two evaluation</w:t>
      </w:r>
      <w:r>
        <w:t xml:space="preserve"> </w:t>
      </w:r>
      <w:r>
        <w:t xml:space="preserve">records, so its per-class statistics cannot be 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 boundary in view. Our</w:t>
      </w:r>
      <w:r>
        <w:t xml:space="preserve"> </w:t>
      </w:r>
      <w:r>
        <w:t xml:space="preserve">backbones fall below published PTB-XL benchmarks [1] and perform poorly on</w:t>
      </w:r>
      <w:r>
        <w:t xml:space="preserve"> </w:t>
      </w:r>
      <w:r>
        <w:t xml:space="preserve">MIT-BIH minority classes (balanced accuracy 0.37–0.38 for all three), which</w:t>
      </w:r>
      <w:r>
        <w:t xml:space="preserve"> </w:t>
      </w:r>
      <w:r>
        <w:t xml:space="preserve">enlarges prediction sets without lowering coverage (§4.3, §5.5). With only 4</w:t>
      </w:r>
      <w:r>
        <w:t xml:space="preserve"> </w:t>
      </w:r>
      <w:r>
        <w:t xml:space="preserve">validation records, early stopping chose epoch 1 for ResNet1D-50 on MIT-BIH; the</w:t>
      </w:r>
      <w:r>
        <w:t xml:space="preserve"> </w:t>
      </w:r>
      <w:r>
        <w:t xml:space="preserve">last-epoch analysis preserved the sign of every deficit and every</w:t>
      </w:r>
      <w:r>
        <w:t xml:space="preserve"> </w:t>
      </w:r>
      <m:oMath>
        <m:sSub>
          <m:e>
            <m:r>
              <m:t>K</m:t>
            </m:r>
          </m:e>
          <m:sub>
            <m:r>
              <m:t>1</m:t>
            </m:r>
          </m:sub>
        </m:sSub>
      </m:oMath>
      <w:r>
        <w:t xml:space="preserve"> </w:t>
      </w:r>
      <w:r>
        <w:t xml:space="preserve">but not</w:t>
      </w:r>
      <w:r>
        <w:t xml:space="preserve"> </w:t>
      </w:r>
      <w:r>
        <w:t xml:space="preserve">the magnitude, which is therefore not compared across backbones.</w:t>
      </w:r>
    </w:p>
    <w:p>
      <w:pPr>
        <w:pStyle w:val="BodyText"/>
        <w:jc w:val="both"/>
      </w:pPr>
      <w:r>
        <w:rPr>
          <w:b/>
          <w:bCs/>
        </w:rPr>
        <w:t xml:space="preserve">External validity.</w:t>
      </w:r>
      <w:r>
        <w:t xml:space="preserve"> </w:t>
      </w:r>
      <w:r>
        <w:t xml:space="preserve">PTB-XL comes from one institution and was recorded in</w:t>
      </w:r>
      <w:r>
        <w:t xml:space="preserve"> </w:t>
      </w:r>
      <w:r>
        <w:t xml:space="preserve">1989–1996; its metadata make the block analysis possible, but its</w:t>
      </w:r>
      <w:r>
        <w:t xml:space="preserve"> </w:t>
      </w:r>
      <m:oMath>
        <m:r>
          <m:t>ρ</m:t>
        </m:r>
      </m:oMath>
      <w:r>
        <w:t xml:space="preserve"> </w:t>
      </w:r>
      <w:r>
        <w:t xml:space="preserve">and</w:t>
      </w:r>
      <w:r>
        <w:t xml:space="preserve"> </w:t>
      </w:r>
      <m:oMath>
        <m:r>
          <m:t>H</m:t>
        </m:r>
      </m:oMath>
      <w:r>
        <w:t xml:space="preserve"> </w:t>
      </w:r>
      <w:r>
        <w:t xml:space="preserve">may not carry over to present-day multi-center cohorts. Eleven of the twelve</w:t>
      </w:r>
      <w:r>
        <w:t xml:space="preserve"> </w:t>
      </w:r>
      <w:r>
        <w:t xml:space="preserve">dose–response points are synthetic MIT-BIH configurations, and PTB-XL, which</w:t>
      </w:r>
      <w:r>
        <w:t xml:space="preserve"> </w:t>
      </w:r>
      <w:r>
        <w:t xml:space="preserve">differs in modality, task and block type, serves only as a prediction check</w:t>
      </w:r>
      <w:r>
        <w:t xml:space="preserve"> </w:t>
      </w:r>
      <w:r>
        <w:t xml:space="preserve">(§5.4). All results concern ECG; temporal dependence within a patient across</w:t>
      </w:r>
      <w:r>
        <w:t xml:space="preserve"> </w:t>
      </w:r>
      <w:r>
        <w:t xml:space="preserve">visits and other clinical signals with repeated measurements were not examined.</w:t>
      </w:r>
    </w:p>
    <w:p>
      <w:pPr>
        <w:pStyle w:val="BodyText"/>
        <w:jc w:val="both"/>
      </w:pPr>
      <w:r>
        <w:rPr>
          <w:b/>
          <w:bCs/>
        </w:rPr>
        <w:t xml:space="preserve">Statistical conclusion validity.</w:t>
      </w:r>
      <w:r>
        <w:t xml:space="preserve"> </w:t>
      </w:r>
      <w:r>
        <w:t xml:space="preserve">The repeated-split intervals of Table 6</w:t>
      </w:r>
      <w:r>
        <w:t xml:space="preserve"> </w:t>
      </w:r>
      <w:r>
        <w:t xml:space="preserve">and Fig. 8 and the Spearman</w:t>
      </w:r>
      <w:r>
        <w:t xml:space="preserve"> </w:t>
      </w:r>
      <m:oMath>
        <m:r>
          <m:t>p</m:t>
        </m:r>
      </m:oMath>
      <w:r>
        <w:t xml:space="preserve">-values of Table 7 are conditional on the 22 DS2</w:t>
      </w:r>
      <w:r>
        <w:t xml:space="preserve"> </w:t>
      </w:r>
      <w:r>
        <w:t xml:space="preserve">records and one permutation (§4.4, §6.2). Only the leave-one-record-out</w:t>
      </w:r>
      <w:r>
        <w:t xml:space="preserve"> </w:t>
      </w:r>
      <w:r>
        <w:t xml:space="preserve">jackknife, added after the initial plan, treats records as the sampling unit; its</w:t>
      </w:r>
      <w:r>
        <w:t xml:space="preserve"> </w:t>
      </w:r>
      <w:r>
        <w:t xml:space="preserve">intervals include zero in every cell and, because each replicate rests on 500</w:t>
      </w:r>
      <w:r>
        <w:t xml:space="preserve"> </w:t>
      </w:r>
      <w:r>
        <w:t xml:space="preserve">splits, are slightly conservative. The split-to-split range covers</w:t>
      </w:r>
      <w:r>
        <w:t xml:space="preserve"> </w:t>
      </w:r>
      <m:oMath>
        <m:r>
          <m:t>1</m:t>
        </m:r>
        <m:r>
          <m:rPr>
            <m:sty m:val="p"/>
          </m:rPr>
          <m:t>−</m:t>
        </m:r>
        <m:r>
          <m:t>α</m:t>
        </m:r>
      </m:oMath>
      <w:r>
        <w:t xml:space="preserve"> </w:t>
      </w:r>
      <w:r>
        <w:t xml:space="preserve">in every MIT-BIH cell</w:t>
      </w:r>
      <w:r>
        <w:t xml:space="preserve"> </w:t>
      </w:r>
      <w:r>
        <w:t xml:space="preserve">(Table 5). Two criteria of the initial protocol were dropped,</w:t>
      </w:r>
      <w:r>
        <w:t xml:space="preserve"> </w:t>
      </w:r>
      <w:r>
        <w:t xml:space="preserve">“HCP covers</w:t>
      </w:r>
      <w:r>
        <w:t xml:space="preserve"> </w:t>
      </w:r>
      <w:r>
        <w:t xml:space="preserve">better than split conformal”</w:t>
      </w:r>
      <w:r>
        <w:t xml:space="preserve"> </w:t>
      </w:r>
      <w:r>
        <w:t xml:space="preserve">once the permutation control showed the gap to be</w:t>
      </w:r>
      <w:r>
        <w:t xml:space="preserve"> </w:t>
      </w:r>
      <w:r>
        <w:t xml:space="preserve">largely mechanical (§5.3), and a Spearman test across two datasets, whose rank</w:t>
      </w:r>
      <w:r>
        <w:t xml:space="preserve"> </w:t>
      </w:r>
      <w:r>
        <w:t xml:space="preserve">correlation can only be</w:t>
      </w:r>
      <w:r>
        <w:t xml:space="preserve"> </w:t>
      </w:r>
      <m:oMath>
        <m:r>
          <m:rPr>
            <m:sty m:val="p"/>
          </m:rPr>
          <m:t>±</m:t>
        </m:r>
        <m:r>
          <m:t>1</m:t>
        </m:r>
      </m:oMath>
      <w:r>
        <w:t xml:space="preserve">; these and the unused parts of the initial plan</w:t>
      </w:r>
      <w:r>
        <w:t xml:space="preserve"> </w:t>
      </w:r>
      <w:r>
        <w:t xml:space="preserve">(patient-level bootstrap, a paired permutation test with 10,000 permutations,</w:t>
      </w:r>
      <w:r>
        <w:t xml:space="preserve"> </w:t>
      </w:r>
      <w:r>
        <w:t xml:space="preserve">exact binomial intervals, Cliff’s delta) are listed in the deviation log.</w:t>
      </w:r>
    </w:p>
    <w:p>
      <w:pPr>
        <w:pStyle w:val="BodyText"/>
        <w:jc w:val="both"/>
      </w:pPr>
      <w:r>
        <w:rPr>
          <w:b/>
          <w:bCs/>
        </w:rPr>
        <w:t xml:space="preserve">Theoretical scope.</w:t>
      </w:r>
      <w:r>
        <w:t xml:space="preserve"> </w:t>
      </w:r>
      <w:r>
        <w:t xml:space="preserve">The variance of §3.2 and the design effects (4) rest on</w:t>
      </w:r>
      <w:r>
        <w:t xml:space="preserve"> </w:t>
      </w:r>
      <w:r>
        <w:t xml:space="preserve">Assumption (A), a one-way random-effects model with compound symmetry, whereas</w:t>
      </w:r>
      <w:r>
        <w:t xml:space="preserve"> </w:t>
      </w:r>
      <w:r>
        <w:t xml:space="preserve">Proposition 1, Corollary 2 and Proposition 3 need no distributional assumption.</w:t>
      </w:r>
      <w:r>
        <w:t xml:space="preserve"> </w:t>
      </w:r>
      <w:r>
        <w:t xml:space="preserve">With the indicator correlation that enters the variance, every Spearman</w:t>
      </w:r>
      <w:r>
        <w:t xml:space="preserve"> </w:t>
      </w:r>
      <w:r>
        <w:t xml:space="preserve">coefficient stays positive (Table 7) and PTB-XL’s correlation drops from 0.35</w:t>
      </w:r>
      <w:r>
        <w:t xml:space="preserve"> </w:t>
      </w:r>
      <w:r>
        <w:t xml:space="preserve">to 0.19–0.20 while its design effect stays near 1; we do not show that the design</w:t>
      </w:r>
      <w:r>
        <w:t xml:space="preserve"> </w:t>
      </w:r>
      <w:r>
        <w:t xml:space="preserve">effect is sufficient for coverage loss. Corollary 2 is proved for HCP only (§3.3),</w:t>
      </w:r>
      <w:r>
        <w:t xml:space="preserve"> </w:t>
      </w:r>
      <w:r>
        <w:t xml:space="preserve">and the hierarchical constructions are not compared with one another [13]. For</w:t>
      </w:r>
      <w:r>
        <w:t xml:space="preserve"> </w:t>
      </w:r>
      <w:r>
        <w:t xml:space="preserve">PTB-XL the verdict is exhaustive only for the declared sources {patient, site,</w:t>
      </w:r>
      <w:r>
        <w:t xml:space="preserve"> </w:t>
      </w:r>
      <w:r>
        <w:t xml:space="preserve">nurse, device}, which the data cannot verify. Declaring only {patient, site}</w:t>
      </w:r>
      <w:r>
        <w:t xml:space="preserve"> </w:t>
      </w:r>
      <w:r>
        <w:t xml:space="preserve">gives</w:t>
      </w:r>
      <w:r>
        <w:t xml:space="preserve"> </w:t>
      </w:r>
      <m:oMath>
        <m:sSub>
          <m:e>
            <m:r>
              <m:t>K</m:t>
            </m:r>
          </m:e>
          <m:sub>
            <m:r>
              <m:t>1</m:t>
            </m:r>
          </m:sub>
        </m:sSub>
        <m:r>
          <m:rPr>
            <m:sty m:val="p"/>
          </m:rPr>
          <m:t>=</m:t>
        </m:r>
        <m:r>
          <m:t>34</m:t>
        </m:r>
      </m:oMath>
      <w:r>
        <w:t xml:space="preserve"> </w:t>
      </w:r>
      <w:r>
        <w:t xml:space="preserve">on the full fold-9 pool and makes</w:t>
      </w:r>
      <w:r>
        <w:t xml:space="preserve"> </w:t>
      </w:r>
      <m:oMath>
        <m:r>
          <m:t>α</m:t>
        </m:r>
        <m:r>
          <m:rPr>
            <m:sty m:val="p"/>
          </m:rPr>
          <m:t>=</m:t>
        </m:r>
        <m:r>
          <m:t>0.05</m:t>
        </m:r>
      </m:oMath>
      <w:r>
        <w:t xml:space="preserve"> </w:t>
      </w:r>
      <w:r>
        <w:t xml:space="preserve">feasible, yet</w:t>
      </w:r>
      <w:r>
        <w:t xml:space="preserve"> </w:t>
      </w:r>
      <w:r>
        <w:t xml:space="preserve">31 of these blocks consist entirely of 188 records without nurse metadata, and on</w:t>
      </w:r>
      <w:r>
        <w:t xml:space="preserve"> </w:t>
      </w:r>
      <w:r>
        <w:t xml:space="preserve">the 1,960 fully annotated records the same declaration gives</w:t>
      </w:r>
      <w:r>
        <w:t xml:space="preserve"> </w:t>
      </w:r>
      <m:oMath>
        <m:sSub>
          <m:e>
            <m:r>
              <m:t>K</m:t>
            </m:r>
          </m:e>
          <m:sub>
            <m:r>
              <m:t>1</m:t>
            </m:r>
          </m:sub>
        </m:sSub>
        <m:r>
          <m:rPr>
            <m:sty m:val="p"/>
          </m:rPr>
          <m:t>=</m:t>
        </m:r>
        <m:r>
          <m:t>3</m:t>
        </m:r>
      </m:oMath>
      <w:r>
        <w:t xml:space="preserve">. The result</w:t>
      </w:r>
      <w:r>
        <w:t xml:space="preserve"> </w:t>
      </w:r>
      <w:r>
        <w:t xml:space="preserve">is therefore conditional:</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How well ECG networks discriminate on benchmarks [1] is orthogonal to</w:t>
      </w:r>
      <w:r>
        <w:t xml:space="preserve"> </w:t>
      </w:r>
      <w:r>
        <w:t xml:space="preserve">this question: an accurate model calibrated on too few blocks still carries no</w:t>
      </w:r>
      <w:r>
        <w:t xml:space="preserve"> </w:t>
      </w:r>
      <w:r>
        <w:t xml:space="preserve">guarantee.</w:t>
      </w:r>
    </w:p>
    <w:p>
      <w:pPr>
        <w:pStyle w:val="BodyText"/>
        <w:jc w:val="both"/>
      </w:pPr>
      <w:r>
        <w:rPr>
          <w:b/>
          <w:bCs/>
        </w:rPr>
        <w:t xml:space="preserve">Researcher degrees of freedom.</w:t>
      </w:r>
      <w:r>
        <w:t xml:space="preserve"> </w:t>
      </w:r>
      <w:r>
        <w:t xml:space="preserve">Because the study audits inferential</w:t>
      </w:r>
      <w:r>
        <w:t xml:space="preserve"> </w:t>
      </w:r>
      <w:r>
        <w:t xml:space="preserve">robustness, its analysis history is part of the evidence. Our reading of the</w:t>
      </w:r>
      <w:r>
        <w:t xml:space="preserve"> </w:t>
      </w:r>
      <w:r>
        <w:t xml:space="preserve">MIT-BIH evidence changed three times, each time after an added control rather</w:t>
      </w:r>
      <w:r>
        <w:t xml:space="preserve"> </w:t>
      </w:r>
      <w:r>
        <w:t xml:space="preserve">than a rereading of data, and its statistical strength was revised once more</w:t>
      </w:r>
      <w:r>
        <w:t xml:space="preserve"> </w:t>
      </w:r>
      <w:r>
        <w:t xml:space="preserve">(Appendix B). Every analysis introduced or modified after results were seen made</w:t>
      </w:r>
      <w:r>
        <w:t xml:space="preserve"> </w:t>
      </w:r>
      <w:r>
        <w:t xml:space="preserve">the evidence stricter. The permutation control overturned a criterion that</w:t>
      </w:r>
      <w:r>
        <w:t xml:space="preserve"> </w:t>
      </w:r>
      <w:r>
        <w:t xml:space="preserve">favored our hypothesis. The Holm correction across the three</w:t>
      </w:r>
      <w:r>
        <w:t xml:space="preserve"> </w:t>
      </w:r>
      <m:oMath>
        <m:r>
          <m:t>α</m:t>
        </m:r>
      </m:oMath>
      <w:r>
        <w:t xml:space="preserve"> </w:t>
      </w:r>
      <w:r>
        <w:t xml:space="preserve">levels of</w:t>
      </w:r>
      <w:r>
        <w:t xml:space="preserve"> </w:t>
      </w:r>
      <w:r>
        <w:t xml:space="preserve">each backbone, specified in the initial protocol but applied only after the</w:t>
      </w:r>
      <w:r>
        <w:t xml:space="preserve"> </w:t>
      </w:r>
      <w:r>
        <w:t xml:space="preserve">split-level intervals had been read, left ResNet1D-34 with no significant level:</w:t>
      </w:r>
      <w:r>
        <w:t xml:space="preserve"> </w:t>
      </w:r>
      <w:r>
        <w:t xml:space="preserve">at</w:t>
      </w:r>
      <w:r>
        <w:t xml:space="preserve"> </w:t>
      </w:r>
      <m:oMath>
        <m:r>
          <m:t>α</m:t>
        </m:r>
        <m:r>
          <m:rPr>
            <m:sty m:val="p"/>
          </m:rPr>
          <m:t>=</m:t>
        </m:r>
        <m:r>
          <m:t>0.10</m:t>
        </m:r>
      </m:oMath>
      <w:r>
        <w:t xml:space="preserve"> </w:t>
      </w:r>
      <w:r>
        <w:t xml:space="preserve">its Monte Carlo interval excludes zero (Table 6), but the</w:t>
      </w:r>
      <w:r>
        <w:t xml:space="preserve"> </w:t>
      </w:r>
      <w:r>
        <w:t xml:space="preserve">Holm-adjusted one-sided bootstrap</w:t>
      </w:r>
      <w:r>
        <w:t xml:space="preserve"> </w:t>
      </w:r>
      <m:oMath>
        <m:r>
          <m:t>p</m:t>
        </m:r>
      </m:oMath>
      <w:r>
        <w:t xml:space="preserve"> </w:t>
      </w:r>
      <w:r>
        <w:t xml:space="preserve">is 0.0502. The reporting axis was chosen</w:t>
      </w:r>
      <w:r>
        <w:t xml:space="preserve"> </w:t>
      </w:r>
      <w:r>
        <w:t xml:space="preserve">after ICC failed to place the two datasets on one scale. The record-level</w:t>
      </w:r>
      <w:r>
        <w:t xml:space="preserve"> </w:t>
      </w:r>
      <w:r>
        <w:t xml:space="preserve">jackknife, added after the initial plan but specified and committed before it</w:t>
      </w:r>
      <w:r>
        <w:t xml:space="preserve"> </w:t>
      </w:r>
      <w:r>
        <w:t xml:space="preserve">was run, showed that repeated-split significance did not extend to subjects. The</w:t>
      </w:r>
      <w:r>
        <w:t xml:space="preserve"> </w:t>
      </w:r>
      <w:r>
        <w:t xml:space="preserve">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appeared in our notes before data collection, but the</w:t>
      </w:r>
      <w:r>
        <w:t xml:space="preserve"> </w:t>
      </w:r>
      <w:r>
        <w:t xml:space="preserve">decision to report on this axis was taken with results in view. The protocol was</w:t>
      </w:r>
      <w:r>
        <w:t xml:space="preserve"> </w:t>
      </w:r>
      <w:r>
        <w:t xml:space="preserve">kept under version control but not publicly registered or formally frozen; it is</w:t>
      </w:r>
      <w:r>
        <w:t xml:space="preserve"> </w:t>
      </w:r>
      <w:r>
        <w:t xml:space="preserve">released with its deviation log.</w:t>
      </w:r>
    </w:p>
    <w:p>
      <w:pPr>
        <w:pStyle w:val="BodyText"/>
        <w:jc w:val="both"/>
      </w:pPr>
      <w:r>
        <w:rPr>
          <w:b/>
          <w:bCs/>
        </w:rPr>
        <w:t xml:space="preserve">Answers to the research questions.</w:t>
      </w:r>
      <w:r>
        <w:t xml:space="preserve"> </w:t>
      </w:r>
      <w:r>
        <w:t xml:space="preserve">RQ1: for HCP, a block-level guarantee</w:t>
      </w:r>
      <w:r>
        <w:t xml:space="preserve"> </w:t>
      </w:r>
      <w:r>
        <w:t xml:space="preserve">at a conventional error rate is enforceable only when the grouping that respects</w:t>
      </w:r>
      <w:r>
        <w:t xml:space="preserve"> </w:t>
      </w:r>
      <w:r>
        <w:t xml:space="preserve">every declared dependence source keeps at least</w:t>
      </w:r>
      <w:r>
        <w:t xml:space="preserve"> </w:t>
      </w:r>
      <m:oMath>
        <m:r>
          <m:rPr>
            <m:sty m:val="p"/>
          </m:rPr>
          <m:t>⌈</m:t>
        </m:r>
        <m:r>
          <m:t>1</m:t>
        </m:r>
        <m:r>
          <m:rPr>
            <m:sty m:val="p"/>
          </m:rPr>
          <m:t>/</m:t>
        </m:r>
        <m:r>
          <m:t>α</m:t>
        </m:r>
        <m:r>
          <m:rPr>
            <m:sty m:val="p"/>
          </m:rPr>
          <m:t>⌉</m:t>
        </m:r>
        <m:r>
          <m:rPr>
            <m:sty m:val="p"/>
          </m:rPr>
          <m:t>−</m:t>
        </m:r>
        <m:r>
          <m:t>1</m:t>
        </m:r>
      </m:oMath>
      <w:r>
        <w:t xml:space="preserve"> </w:t>
      </w:r>
      <w:r>
        <w:t xml:space="preserve">calibration blocks. On PTB-XL this holds for patient blocking at the marginal</w:t>
      </w:r>
      <w:r>
        <w:t xml:space="preserve"> </w:t>
      </w:r>
      <w:r>
        <w:t xml:space="preserve">level, fails for 24 of 44 diagnostic SCP statements at</w:t>
      </w:r>
      <w:r>
        <w:t xml:space="preserve"> </w:t>
      </w:r>
      <m:oMath>
        <m:r>
          <m:t>α</m:t>
        </m:r>
        <m:r>
          <m:rPr>
            <m:sty m:val="p"/>
          </m:rPr>
          <m:t>=</m:t>
        </m:r>
        <m:r>
          <m:t>0.05</m:t>
        </m:r>
      </m:oMath>
      <w:r>
        <w:t xml:space="preserve">, and fails</w:t>
      </w:r>
      <w:r>
        <w:t xml:space="preserve"> </w:t>
      </w:r>
      <w:r>
        <w:t xml:space="preserve">at every conventional level once all four documented sources are declared; on</w:t>
      </w:r>
      <w:r>
        <w:t xml:space="preserve"> </w:t>
      </w:r>
      <w:r>
        <w:t xml:space="preserve">MIT-BIH the 11/11 split rules out levels below</w:t>
      </w:r>
      <w:r>
        <w:t xml:space="preserve"> </w:t>
      </w:r>
      <m:oMath>
        <m:r>
          <m:t>1</m:t>
        </m:r>
        <m:r>
          <m:rPr>
            <m:sty m:val="p"/>
          </m:rPr>
          <m:t>/</m:t>
        </m:r>
        <m:r>
          <m:t>12</m:t>
        </m:r>
      </m:oMath>
      <w:r>
        <w:t xml:space="preserve">; on Challenge 2021 the</w:t>
      </w:r>
      <w:r>
        <w:t xml:space="preserve"> </w:t>
      </w:r>
      <w:r>
        <w:t xml:space="preserve">patient-level count cannot be observed. RQ2: on the 22 MIT-BIH evaluation</w:t>
      </w:r>
      <w:r>
        <w:t xml:space="preserve"> </w:t>
      </w:r>
      <w:r>
        <w:t xml:space="preserve">subjects, ignoring blocks was associated with a coverage shortfall against a</w:t>
      </w:r>
      <w:r>
        <w:t xml:space="preserve"> </w:t>
      </w:r>
      <w:r>
        <w:t xml:space="preserve">matched permutation null that the factorial design attributes mainly to</w:t>
      </w:r>
      <w:r>
        <w:t xml:space="preserve"> </w:t>
      </w:r>
      <w:r>
        <w:t xml:space="preserve">clustering and that grows with the design effect within MIT-BIH, while PTB-XL,</w:t>
      </w:r>
      <w:r>
        <w:t xml:space="preserve"> </w:t>
      </w:r>
      <w:r>
        <w:t xml:space="preserve">with near-singleton blocks, showed none. A jackknife over subjects cannot</w:t>
      </w:r>
      <w:r>
        <w:t xml:space="preserve"> </w:t>
      </w:r>
      <w:r>
        <w:t xml:space="preserve">establish the sign of the shortfall for the population, so RQ2 is answered for</w:t>
      </w:r>
      <w:r>
        <w:t xml:space="preserve"> </w:t>
      </w:r>
      <w:r>
        <w:t xml:space="preserve">the audited records, not beyond them.</w:t>
      </w:r>
    </w:p>
    <w:bookmarkEnd w:id="65"/>
    <w:bookmarkEnd w:id="66"/>
    <w:bookmarkStart w:id="67" w:name="conclusion"/>
    <w:p>
      <w:pPr>
        <w:pStyle w:val="Heading1"/>
      </w:pPr>
      <w:r>
        <w:t xml:space="preserve">7. Conclusion</w:t>
      </w:r>
    </w:p>
    <w:p>
      <w:pPr>
        <w:pStyle w:val="FirstParagraph"/>
        <w:jc w:val="both"/>
      </w:pPr>
      <w:r>
        <w:t xml:space="preserve">For clinical ECG data, whether HCP can deliver a block-level coverage guarantee</w:t>
      </w:r>
      <w:r>
        <w:t xml:space="preserve"> </w:t>
      </w:r>
      <w:r>
        <w:t xml:space="preserve">is settled by the study design before any model is trained. It can do so at a</w:t>
      </w:r>
      <w:r>
        <w:t xml:space="preserve"> </w:t>
      </w:r>
      <w:r>
        <w:t xml:space="preserve">given error rate only if enough calibration blocks remain once the declared</w:t>
      </w:r>
      <w:r>
        <w:t xml:space="preserve"> </w:t>
      </w:r>
      <w:r>
        <w:t xml:space="preserve">dependence sources are respected, a count that metadata provide before</w:t>
      </w:r>
      <w:r>
        <w:t xml:space="preserve"> </w:t>
      </w:r>
      <w:r>
        <w:t xml:space="preserve">enrollment and that tends to be smallest for the rare diagnoses where calibrated</w:t>
      </w:r>
      <w:r>
        <w:t xml:space="preserve"> </w:t>
      </w:r>
      <w:r>
        <w:t xml:space="preserve">uncertainty matters most; this extends to crossed sources and diagnostic labels a</w:t>
      </w:r>
      <w:r>
        <w:t xml:space="preserve"> </w:t>
      </w:r>
      <w:r>
        <w:t xml:space="preserve">requirement already known for single groupings. Whether ignoring blocks costs</w:t>
      </w:r>
      <w:r>
        <w:t xml:space="preserve"> </w:t>
      </w:r>
      <w:r>
        <w:t xml:space="preserve">coverage depended on repetition as well as correlation: near-singleton blocks</w:t>
      </w:r>
      <w:r>
        <w:t xml:space="preserve"> </w:t>
      </w:r>
      <w:r>
        <w:t xml:space="preserve">left coverage intact despite substantial correlation, while thousands of beats</w:t>
      </w:r>
      <w:r>
        <w:t xml:space="preserve"> </w:t>
      </w:r>
      <w:r>
        <w:t xml:space="preserve">per subject produced a deficit on the 22 audited subjects that they were too few</w:t>
      </w:r>
      <w:r>
        <w:t xml:space="preserve"> </w:t>
      </w:r>
      <w:r>
        <w:t xml:space="preserve">to establish for the population. The feasibility verdicts are exact given the</w:t>
      </w:r>
      <w:r>
        <w:t xml:space="preserve"> </w:t>
      </w:r>
      <w:r>
        <w:t xml:space="preserve">declared sources; the coverage findings are observations on these records.</w:t>
      </w:r>
      <w:r>
        <w:t xml:space="preserve"> </w:t>
      </w:r>
      <w:r>
        <w:t xml:space="preserve">Evaluations of conformal methods on clustered data should use a null</w:t>
      </w:r>
      <w:r>
        <w:t xml:space="preserve"> </w:t>
      </w:r>
      <w:r>
        <w:t xml:space="preserve">that removes dependence but keeps block geometry, report set size with coverage,</w:t>
      </w:r>
      <w:r>
        <w:t xml:space="preserve"> </w:t>
      </w:r>
      <w:r>
        <w:t xml:space="preserve">and resample subjects rather than splits for population claims; clinical studies</w:t>
      </w:r>
      <w:r>
        <w:t xml:space="preserve"> </w:t>
      </w:r>
      <w:r>
        <w:t xml:space="preserve">claiming conformal guarantees should report the dependence sources they declared</w:t>
      </w:r>
      <w:r>
        <w:t xml:space="preserve"> </w:t>
      </w:r>
      <w:r>
        <w:t xml:space="preserve">and the number of calibration blocks, per label where relevant. These</w:t>
      </w:r>
      <w:r>
        <w:t xml:space="preserve"> </w:t>
      </w:r>
      <w:r>
        <w:t xml:space="preserve">conclusions are limited to HCP and the sources declared here; other hierarchical</w:t>
      </w:r>
      <w:r>
        <w:t xml:space="preserve"> </w:t>
      </w:r>
      <w:r>
        <w:t xml:space="preserve">constructions carry their own group-count conditions [13], and whether every</w:t>
      </w:r>
      <w:r>
        <w:t xml:space="preserve"> </w:t>
      </w:r>
      <w:r>
        <w:t xml:space="preserve">block-level procedure faces such a boundary is not addressed.</w:t>
      </w:r>
    </w:p>
    <w:bookmarkEnd w:id="67"/>
    <w:bookmarkStart w:id="68" w:name="data-and-code-availability"/>
    <w:p>
      <w:pPr>
        <w:pStyle w:val="Heading1"/>
      </w:pPr>
      <w:r>
        <w:t xml:space="preserve">Data and Code Availability</w:t>
      </w:r>
    </w:p>
    <w:p>
      <w:pPr>
        <w:pStyle w:val="FirstParagraph"/>
        <w:jc w:val="both"/>
      </w:pPr>
      <w:r>
        <w:t xml:space="preserve">PTB-XL (version 1.0.3) [14], the MIT-BIH Arrhythmia Database [15] and the</w:t>
      </w:r>
      <w:r>
        <w:t xml:space="preserve"> </w:t>
      </w:r>
      <w:r>
        <w:t xml:space="preserve">PhysioNet/CinC Challenge 2021 collection (version 1.0.3) [16] are publicly</w:t>
      </w:r>
      <w:r>
        <w:t xml:space="preserve"> </w:t>
      </w:r>
      <w:r>
        <w:t xml:space="preserve">available from PhysioNet under their respective licences; all recordings are</w:t>
      </w:r>
      <w:r>
        <w:t xml:space="preserve"> </w:t>
      </w:r>
      <w:r>
        <w:t xml:space="preserve">de-identified, and no new data were collected for this study. The code, the</w:t>
      </w:r>
      <w:r>
        <w:t xml:space="preserve"> </w:t>
      </w:r>
      <w:r>
        <w:t xml:space="preserve">analysis protocol with its deviation log, and the JSON artifact behind every</w:t>
      </w:r>
      <w:r>
        <w:t xml:space="preserve"> </w:t>
      </w:r>
      <w:r>
        <w:t xml:space="preserve">reported number will be archived under a persistent identifier before</w:t>
      </w:r>
      <w:r>
        <w:t xml:space="preserve"> </w:t>
      </w:r>
      <w:r>
        <w:t xml:space="preserve">publication.</w:t>
      </w:r>
    </w:p>
    <w:bookmarkEnd w:id="68"/>
    <w:bookmarkStart w:id="72" w:name="appendix-a.-supplementary-derivations"/>
    <w:p>
      <w:pPr>
        <w:pStyle w:val="Heading1"/>
      </w:pPr>
      <w:r>
        <w:t xml:space="preserve">Appendix A. Supplementary Derivations</w:t>
      </w:r>
    </w:p>
    <w:bookmarkStart w:id="69"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9"/>
    <w:bookmarkStart w:id="70"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70"/>
    <w:bookmarkStart w:id="71" w:name="a.3-equal-weighting-in-hcp"/>
    <w:p>
      <w:pPr>
        <w:pStyle w:val="Heading2"/>
      </w:pPr>
      <w:r>
        <w:t xml:space="preserve">A.3 Equal weighting in HCP</w:t>
      </w:r>
    </w:p>
    <w:p>
      <w:pPr>
        <w:pStyle w:val="FirstParagraph"/>
        <w:jc w:val="both"/>
      </w:pPr>
      <w:r>
        <w:t xml:space="preserve">Cluster-randomized trials compare equal and size-proportional weighting of</w:t>
      </w:r>
      <w:r>
        <w:t xml:space="preserve"> </w:t>
      </w:r>
      <w:r>
        <w:t xml:space="preserve">cluster means, and equal weighting loses efficiency when cluster sizes vary</w:t>
      </w:r>
      <w:r>
        <w:t xml:space="preserve"> </w:t>
      </w:r>
      <w:r>
        <w:t xml:space="preserve">[31], [32]. In HCP it cannot be replaced, so the practitioner is tied to the</w:t>
      </w:r>
      <w:r>
        <w:t xml:space="preserve"> </w:t>
      </w:r>
      <w:r>
        <w:t xml:space="preserve">estimator that cluster-sampling theory regards as most sensitive to block</w:t>
      </w:r>
      <w:r>
        <w:t xml:space="preserve"> </w:t>
      </w:r>
      <w:r>
        <w:t xml:space="preserve">imbalance, without the standard remedy. We state this as an observation and do</w:t>
      </w:r>
      <w:r>
        <w:t xml:space="preserve"> </w:t>
      </w:r>
      <w:r>
        <w:t xml:space="preserve">not prove that equal weights are the only valid choice. On PTB-XL the two design</w:t>
      </w:r>
      <w:r>
        <w:t xml:space="preserve"> </w:t>
      </w:r>
      <w:r>
        <w:t xml:space="preserve">effects of (4) differ by a factor of 15.7 at the site level, while on</w:t>
      </w:r>
      <w:r>
        <w:t xml:space="preserve"> </w:t>
      </w:r>
      <w:r>
        <w:rPr>
          <w:rStyle w:val="VerbatimChar"/>
        </w:rPr>
        <w:t xml:space="preserve">strat_fold</w:t>
      </w:r>
      <w:r>
        <w:t xml:space="preserve">, whose blocks are almost uniform by construction, their ratio is</w:t>
      </w:r>
      <w:r>
        <w:t xml:space="preserve"> </w:t>
      </w:r>
      <w:r>
        <w:t xml:space="preserve">1.000,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f>
          <m:fPr>
            <m:type m:val="lin"/>
          </m:fPr>
          <m:num>
            <m:r>
              <m:t>1</m:t>
            </m:r>
          </m:num>
          <m:den>
            <m:r>
              <m:t>3</m:t>
            </m:r>
          </m:den>
        </m:f>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f>
          <m:fPr>
            <m:type m:val="lin"/>
          </m:fPr>
          <m:num>
            <m:r>
              <m:t>2</m:t>
            </m:r>
          </m:num>
          <m:den>
            <m:r>
              <m:t>3</m:t>
            </m:r>
          </m:den>
        </m:f>
      </m:oMath>
      <w:r>
        <w:t xml:space="preserve">. Shifting the calibration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leaving</w:t>
      </w:r>
      <w:r>
        <w:t xml:space="preserve"> </w:t>
      </w:r>
      <m:oMath>
        <m:f>
          <m:fPr>
            <m:type m:val="lin"/>
          </m:fPr>
          <m:num>
            <m:r>
              <m:t>1</m:t>
            </m:r>
          </m:num>
          <m:den>
            <m:r>
              <m:t>3</m:t>
            </m:r>
          </m:den>
        </m:f>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71"/>
    <w:bookmarkEnd w:id="72"/>
    <w:bookmarkStart w:id="73" w:name="X06db9a02045705c8b7d21c68ec78218971b4832"/>
    <w:p>
      <w:pPr>
        <w:pStyle w:val="Heading1"/>
      </w:pPr>
      <w:r>
        <w:t xml:space="preserve">Appendix B. Interim Conclusions on MIT-BIH</w:t>
      </w:r>
    </w:p>
    <w:p>
      <w:pPr>
        <w:pStyle w:val="FirstParagraph"/>
        <w:jc w:val="both"/>
      </w:pPr>
      <w:r>
        <w:t xml:space="preserve">The reading of the MIT-BIH evidence was revised three times, and its statistical</w:t>
      </w:r>
      <w:r>
        <w:t xml:space="preserve"> </w:t>
      </w:r>
      <w:r>
        <w:t xml:space="preserve">strength a fourth time (§6.4). The second revision was our own mistake: it</w:t>
      </w:r>
      <w:r>
        <w:t xml:space="preserve"> </w:t>
      </w:r>
      <w:r>
        <w:t xml:space="preserve">compared analyses with different calibration sizes (about 24,800 against 16,500</w:t>
      </w:r>
      <w:r>
        <w:t xml:space="preserve"> </w:t>
      </w:r>
      <w:r>
        <w:t xml:space="preserve">beats) and attributed the difference to block balance. Table 9 lists each</w:t>
      </w:r>
      <w:r>
        <w:t xml:space="preserve"> </w:t>
      </w:r>
      <w:r>
        <w:t xml:space="preserve">interim conclusion with the control that overturned it.</w:t>
      </w:r>
    </w:p>
    <w:p>
      <w:pPr>
        <w:pStyle w:val="BodyText"/>
        <w:keepNext/>
        <w:spacing w:before="160"/>
        <w:jc w:val="left"/>
      </w:pPr>
      <w:r/>
      <w:r>
        <w:rPr>
          <w:b/>
          <w:sz w:val="18"/>
        </w:rPr>
        <w:t xml:space="preserve">Table 9. </w:t>
      </w:r>
      <w:r>
        <w:rPr>
          <w:sz w:val="18"/>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16"/>
        <w:gridCol w:w="3801"/>
        <w:gridCol w:w="3801"/>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Monte Carlo interval excludes zero for imbalance at 0/3 levels, for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 (split-level intervals)</w:t>
            </w:r>
          </w:p>
        </w:tc>
        <w:tc>
          <w:tcPr/>
          <w:p>
            <w:pPr>
              <w:pStyle w:val="Compact"/>
            </w:pPr>
            <w:r>
              <w:rPr>
                <w:sz w:val="17"/>
              </w:rPr>
              <w:t xml:space="preserve">Record-level jackknife over the 22 DS2 records: every 95% CI includes zero</w:t>
            </w:r>
          </w:p>
        </w:tc>
      </w:tr>
    </w:tbl>
    <w:bookmarkEnd w:id="73"/>
    <w:bookmarkStart w:id="74"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[16] hold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from all</w:t>
      </w:r>
      <w:r>
        <w:t xml:space="preserve"> </w:t>
      </w:r>
      <w:r>
        <w:t xml:space="preserve">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a patient identifier; since this is a</w:t>
      </w:r>
      <w:r>
        <w:t xml:space="preserve"> </w:t>
      </w:r>
      <w:r>
        <w:t xml:space="preserve">sample and header schemas differ between sources, we claim nothing beyond it.</w:t>
      </w:r>
      <w:r>
        <w:t xml:space="preserve"> </w:t>
      </w:r>
      <w:r>
        <w:t xml:space="preserve">Repetition, by contrast, is documented: the INCART source is described 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holds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also presumes a latent block structure [12]; if similarity within an</w:t>
      </w:r>
      <w:r>
        <w:t xml:space="preserve"> </w:t>
      </w:r>
      <w:r>
        <w:t xml:space="preserve">institution faded gradually, for instance with the closeness of acquisition</w:t>
      </w:r>
      <w:r>
        <w:t xml:space="preserve"> </w:t>
      </w:r>
      <w:r>
        <w:t xml:space="preserve">protocols, the condition would be ill-posed rather than merely unobservable.</w:t>
      </w:r>
      <w:r>
        <w:t xml:space="preserve"> </w:t>
      </w:r>
      <w:r>
        <w:t xml:space="preserve">These checks needed about 0.5 MB of downloads (70 index files and 42 headers) out</w:t>
      </w:r>
      <w:r>
        <w:t xml:space="preserve"> </w:t>
      </w:r>
      <w:r>
        <w:t xml:space="preserve">of a 12.6 GB dataset, before any preprocessing or training.</w:t>
      </w:r>
    </w:p>
    <w:bookmarkEnd w:id="74"/>
    <w:bookmarkStart w:id="75"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[8]</w:t>
        <w:tab/>
      </w:r>
      <w:r>
        <w:rPr>
          <w:i w:val="0"/>
          <w:sz w:val="18"/>
        </w:rPr>
        <w:t>O. El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[9]</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[10]</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[11]</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[12]</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[13]</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[14]</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[15]</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[16]</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[17]</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[18]</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[19]</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[20]</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
        <w:rPr>
          <w:sz w:val="18"/>
        </w:rPr>
        <w:t>[21]</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Pr>
          <w:i/>
          <w:iCs/>
        </w:rPr>
      </w:r>
      <w:r/>
      <w:r>
        <w:rPr>
          <w:sz w:val="18"/>
        </w:rPr>
        <w:t>[22]</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[23]</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Pr>
          <w:i/>
          <w:iCs/>
        </w:rPr>
      </w:r>
      <w:r/>
      <w:r>
        <w:rPr>
          <w:sz w:val="18"/>
        </w:rPr>
        <w:t>[24]</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[25]</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[26]</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[27]</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[28]</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[29]</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[30]</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[31]</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[32]</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[33]</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[34]</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[35]</w:t>
        <w:tab/>
      </w:r>
      <w:r>
        <w:rPr>
          <w:i w:val="0"/>
          <w:sz w:val="18"/>
        </w:rPr>
        <w:t>P. C. Marques F., “Universal distribution of the empirical coverage in split conformal prediction,” Statistics &amp; Probability Letters, vol. 219, Apr. 2025, doi: 10.1016/j.spl.2024.110350.</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0"/>
    </w:rPr>
  </w:style>
  <w:style w:styleId="BodyText" w:type="paragraph">
    <w:name w:val="Body Text"/>
    <w:basedOn w:val="Normal"/>
    <w:link w:val="BodyTextChar"/>
    <w:qFormat/>
    <w:pPr>
      <w:spacing w:after="80" w:before="0"/>
    </w:pPr>
    <w:rPr>
      <w:rFonts w:ascii="Times New Roman" w:eastAsia="Times New Roman" w:hAnsi="Times New Roman"/>
      <w:color w:val="000000"/>
      <w:sz w:val="20"/>
    </w:rPr>
  </w:style>
  <w:style w:customStyle="1" w:styleId="FirstParagraph" w:type="paragraph">
    <w:name w:val="First Paragraph"/>
    <w:basedOn w:val="BodyText"/>
    <w:next w:val="BodyText"/>
    <w:qFormat/>
    <w:rPr>
      <w:rFonts w:ascii="Times New Roman" w:eastAsia="Times New Roman" w:hAnsi="Times New Roman"/>
      <w:color w:val="000000"/>
      <w:sz w:val="20"/>
    </w:rPr>
  </w:style>
  <w:style w:customStyle="1" w:styleId="Compact" w:type="paragraph">
    <w:name w:val="Compact"/>
    <w:basedOn w:val="BodyText"/>
    <w:qFormat/>
    <w:pPr>
      <w:spacing w:after="36" w:before="36"/>
    </w:pPr>
    <w:rPr>
      <w:rFonts w:ascii="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10" Type="http://schemas.openxmlformats.org/officeDocument/2006/relationships/image" Target="media/rId10.png"/><Relationship Id="rId20" Type="http://schemas.openxmlformats.org/officeDocument/2006/relationships/image" Target="media/rId20.png"/><Relationship Id="rId26" Type="http://schemas.openxmlformats.org/officeDocument/2006/relationships/image" Target="media/rId26.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49" Type="http://schemas.openxmlformats.org/officeDocument/2006/relationships/image" Target="media/rId49.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2026-10-04T01:36:35Z</dcterms:created>
  <dcterms:modified xsi:type="dcterms:W3CDTF">2026-10-04T01:36:35Z</dcterms:modified>
</cp:coreProperties>
</file>

<file path=docProps/custom.xml><?xml version="1.0" encoding="utf-8"?>
<Properties xmlns="http://schemas.openxmlformats.org/officeDocument/2006/custom-properties" xmlns:vt="http://schemas.openxmlformats.org/officeDocument/2006/docPropsVTypes"/>
</file>