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3edc1f0.</w:t>
      </w:r>
    </w:p>
    <w:p>
      <w:pPr>
        <w:pStyle w:val="BodyText"/>
        <w:jc w:val="both"/>
      </w:pPr>
      <w:r>
        <w:rPr>
          <w:b/>
          <w:bCs/>
          <w:sz w:val="19"/>
        </w:rPr>
        <w:t xml:space="preserve">Abstract—</w:t>
      </w:r>
      <w:r>
        <w:rPr>
          <w:b/>
          <w:sz w:val="19"/>
        </w:rP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with</w:t>
      </w:r>
      <w:r>
        <w:rPr>
          <w:b/>
          <w:sz w:val="19"/>
        </w:rPr>
        <w:t xml:space="preserve"> </w:t>
      </w:r>
      <m:oMath>
        <m:sSub>
          <m:e>
            <m:r>
              <m:t>K</m:t>
            </m:r>
          </m:e>
          <m:sub>
            <m:r>
              <m:t>1</m:t>
            </m:r>
          </m:sub>
        </m:sSub>
      </m:oMath>
      <w:r>
        <w:rPr>
          <w:b/>
          <w:sz w:val="19"/>
        </w:rPr>
        <w:t xml:space="preserve"> </w:t>
      </w:r>
      <w:r>
        <w:rPr>
          <w:b/>
          <w:sz w:val="19"/>
        </w:rPr>
        <w:t xml:space="preserve">the number of calibration blocks. We audit three public electrocardiogram resources to ask whether this guarantee can be enforced and whether ignoring blocks costs coverage. Using metadata alone, the feasibility analysis finds that declaring the four documented dependence sources of PTB-XL leaves a single admissible calibration block, and that under patient blocking 24 of 44 diagnostic statements have no finite per-label threshold at</w:t>
      </w:r>
      <w:r>
        <w:rPr>
          <w:b/>
          <w:sz w:val="19"/>
        </w:rPr>
        <w:t xml:space="preserve"> </w:t>
      </w:r>
      <m:oMath>
        <m:r>
          <m:t>α</m:t>
        </m:r>
        <m:r>
          <m:rPr>
            <m:sty m:val="p"/>
          </m:rPr>
          <m:t>=</m:t>
        </m:r>
        <m:r>
          <m:t>0.05</m:t>
        </m:r>
      </m:oMath>
      <w:r>
        <w:rPr>
          <w:b/>
          <w:sz w:val="19"/>
        </w:rPr>
        <w:t xml:space="preserve">. On MIT-BIH, naive split conformal falls 1.5–2.4 percentage points short of a matched permutation null; a factorial design traces the shortfall to clustering rather than to unequal block sizes, and a controlled dose–response experiment shows it growing with the design effect (Spearman 0.80–0.85). PTB-XL shows no deficit despite a within-patient correlation of 0.35, since most of its patients contribute one recording. The apparent advantage of HCP over naive calibration is largely mechanical, retaining 75–110% of its size once dependence is removed. The direction of every result holds across three backbones, one of which fails the pre-registered significance criterion. Blocks, not records, should be counted before any claim of distribution-free coverage is made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We introduce no</w:t>
      </w:r>
      <w:r>
        <w:t xml:space="preserve"> </w:t>
      </w:r>
      <w:r>
        <w:t xml:space="preserve">new conformal procedure. The audit contributes the following.</w:t>
      </w:r>
    </w:p>
    <w:p>
      <w:pPr>
        <w:pStyle w:val="Compact"/>
        <w:numPr>
          <w:ilvl w:val="0"/>
          <w:numId w:val="1001"/>
        </w:numPr>
      </w:pPr>
      <w:r>
        <w:t xml:space="preserve">A metadata-only feasibility audit (§3, §5.1). The HCP bound, combined with</w:t>
      </w:r>
      <w:r>
        <w:t xml:space="preserve"> </w:t>
      </w:r>
      <w:r>
        <w:t xml:space="preserve">the join of the declared dependence sources, returns exact verdicts before a</w:t>
      </w:r>
      <w:r>
        <w:t xml:space="preserve"> </w:t>
      </w:r>
      <w:r>
        <w:t xml:space="preserve">single patient is enrolled. With all four documented PTB-XL sources declared,</w:t>
      </w:r>
      <w:r>
        <w:t xml:space="preserve"> </w:t>
      </w:r>
      <w:r>
        <w:t xml:space="preserve">every admissible calibration grouping reduces to one block; with patient</w:t>
      </w:r>
      <w:r>
        <w:t xml:space="preserve"> </w:t>
      </w:r>
      <w:r>
        <w:t xml:space="preserve">blocking alone, 24 of 44 SCP diagnostic statements lack a finite per-label</w:t>
      </w:r>
      <w:r>
        <w:t xml:space="preserve"> </w:t>
      </w:r>
      <w:r>
        <w:t xml:space="preserve">threshold at</w:t>
      </w:r>
      <w:r>
        <w:t xml:space="preserve"> </w:t>
      </w:r>
      <m:oMath>
        <m:r>
          <m:t>α</m:t>
        </m:r>
        <m:r>
          <m:rPr>
            <m:sty m:val="p"/>
          </m:rPr>
          <m:t>=</m:t>
        </m:r>
        <m:r>
          <m:t>0.05</m:t>
        </m:r>
      </m:oMath>
      <w:r>
        <w:t xml:space="preserve">; and dividing the 22 MIT-BIH evaluation subjects</w:t>
      </w:r>
      <w:r>
        <w:t xml:space="preserve"> </w:t>
      </w:r>
      <w:r>
        <w:t xml:space="preserve">evenly between calibration and test rules out a subject-level guarantee at the</w:t>
      </w:r>
      <w:r>
        <w:t xml:space="preserve"> </w:t>
      </w:r>
      <w:r>
        <w:t xml:space="preserve">95% level.</w:t>
      </w:r>
    </w:p>
    <w:p>
      <w:pPr>
        <w:pStyle w:val="Compact"/>
        <w:numPr>
          <w:ilvl w:val="0"/>
          <w:numId w:val="1001"/>
        </w:numPr>
      </w:pPr>
      <w:r>
        <w:t xml:space="preserve">Attribution of under-coverage to dependence acting through repetition</w:t>
      </w:r>
      <w:r>
        <w:t xml:space="preserve"> </w:t>
      </w:r>
      <w:r>
        <w:t xml:space="preserve">(§5.2–§5.4). Naive split conformal on MIT-BIH covers less than a matched</w:t>
      </w:r>
      <w:r>
        <w:t xml:space="preserve"> </w:t>
      </w:r>
      <w:r>
        <w:t xml:space="preserve">permutation null, a factorial design assigns the shortfall to clustering</w:t>
      </w:r>
      <w:r>
        <w:t xml:space="preserve"> </w:t>
      </w:r>
      <w:r>
        <w:t xml:space="preserve">rather than to unequal block sizes, and a controlled dose–response experiment</w:t>
      </w:r>
      <w:r>
        <w:t xml:space="preserve"> </w:t>
      </w:r>
      <w:r>
        <w:t xml:space="preserve">shows it increasing with the design effect. PTB-XL, despite substantial</w:t>
      </w:r>
      <w:r>
        <w:t xml:space="preserve"> </w:t>
      </w:r>
      <w:r>
        <w:t xml:space="preserve">within-patient correlation, sits near zero, as the design effect predicts.</w:t>
      </w:r>
    </w:p>
    <w:p>
      <w:pPr>
        <w:pStyle w:val="Compact"/>
        <w:numPr>
          <w:ilvl w:val="0"/>
          <w:numId w:val="1001"/>
        </w:numPr>
      </w:pPr>
      <w:r>
        <w:t xml:space="preserve">A caution for evaluating hierarchical conformal methods (§5.3, §6.2).</w:t>
      </w:r>
      <w:r>
        <w:t xml:space="preserve"> </w:t>
      </w:r>
      <w:r>
        <w:t xml:space="preserve">Between 75% and 110% of the apparent gain of HCP over naive split conformal</w:t>
      </w:r>
      <w:r>
        <w:t xml:space="preserve"> </w:t>
      </w:r>
      <w:r>
        <w:t xml:space="preserve">survives when within-block dependence is permuted away, so the gain is largely</w:t>
      </w:r>
      <w:r>
        <w:t xml:space="preserve"> </w:t>
      </w:r>
      <w:r>
        <w:t xml:space="preserve">mechanical; matched permutation nulls and joint reporting of set size are</w:t>
      </w:r>
      <w:r>
        <w:t xml:space="preserve"> </w:t>
      </w:r>
      <w:r>
        <w:t xml:space="preserve">therefore recommended.</w:t>
      </w:r>
    </w:p>
    <w:p>
      <w:pPr>
        <w:pStyle w:val="Compact"/>
        <w:numPr>
          <w:ilvl w:val="0"/>
          <w:numId w:val="1001"/>
        </w:numPr>
      </w:pPr>
      <w:r>
        <w:t xml:space="preserve">Pre-registered robustness checks reported in full (§5.5, §6.4). Across</w:t>
      </w:r>
      <w:r>
        <w:t xml:space="preserve"> </w:t>
      </w:r>
      <w:r>
        <w:t xml:space="preserve">three backbones whose parameter counts differ by more than a hundredfold, and</w:t>
      </w:r>
      <w:r>
        <w:t xml:space="preserve"> </w:t>
      </w:r>
      <w:r>
        <w:t xml:space="preserve">across checkpoints, every finding keeps its direction; statistical strength</w:t>
      </w:r>
      <w:r>
        <w:t xml:space="preserve"> </w:t>
      </w:r>
      <w:r>
        <w:t xml:space="preserve">varies, and the backbone that misses the pre-registered criterion is reported.</w:t>
      </w:r>
    </w:p>
    <w:p>
      <w:pPr>
        <w:pStyle w:val="FirstParagraph"/>
        <w:jc w:val="both"/>
      </w:pPr>
      <w:r>
        <w:t xml:space="preserve">Resampling is always performed over blocks, the held-out PTB-XL fold has never</w:t>
      </w:r>
      <w:r>
        <w:t xml:space="preserve"> </w:t>
      </w:r>
      <w:r>
        <w:t xml:space="preserve">been inspected, deviations from the protocol are logged, and the code and</w:t>
      </w:r>
      <w:r>
        <w:t xml:space="preserve"> </w:t>
      </w:r>
      <w:r>
        <w:t xml:space="preserve">per-result artifacts are released with the paper. Section 2 situates the audit in</w:t>
      </w:r>
      <w:r>
        <w:t xml:space="preserve"> </w:t>
      </w:r>
      <w:r>
        <w:t xml:space="preserve">prior work, Section 3 derives the feasibility conditions, Section 4 sets out the</w:t>
      </w:r>
      <w:r>
        <w:t xml:space="preserve"> </w:t>
      </w:r>
      <w:r>
        <w:t xml:space="preserve">design, and Sections 5 and 6 present and discuss the findings.</w:t>
      </w:r>
    </w:p>
    <w:bookmarkEnd w:id="9"/>
    <w:bookmarkStart w:id="12" w:name="related-work"/>
    <w:p>
      <w:pPr>
        <w:pStyle w:val="Heading1"/>
      </w:pPr>
      <w:r>
        <w:t xml:space="preserve">2. Related Work</w:t>
      </w:r>
    </w:p>
    <w:bookmarkStart w:id="10"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0"/>
    <w:bookmarkStart w:id="11"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1"/>
    <w:bookmarkEnd w:id="12"/>
    <w:bookmarkStart w:id="20"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3"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3"/>
    <w:bookmarkStart w:id="14"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expression is the usual design effect for clusters of unequal size.</w:t>
      </w:r>
      <w:r>
        <w:t xml:space="preserve"> </w:t>
      </w:r>
      <w:r>
        <w:t xml:space="preserve">Cluster-randomized trials routinely compare equal and size-proportional</w:t>
      </w:r>
      <w:r>
        <w:t xml:space="preserve"> </w:t>
      </w:r>
      <w:r>
        <w:t xml:space="preserve">weighting of cluster means, and there equal weighting is known to lose</w:t>
      </w:r>
      <w:r>
        <w:t xml:space="preserve"> </w:t>
      </w:r>
      <w:r>
        <w:t xml:space="preserve">efficiency when cluster sizes vary, which is why minimum-variance weights are</w:t>
      </w:r>
      <w:r>
        <w:t xml:space="preserve"> </w:t>
      </w:r>
      <w:r>
        <w:t xml:space="preserve">usually preferred [38], [39]. HCP offers no such option: equal weighting is built</w:t>
      </w:r>
      <w:r>
        <w:t xml:space="preserve"> </w:t>
      </w:r>
      <w:r>
        <w:t xml:space="preserve">into its threshold, and abandoning it can invalidate the guarantee instead of</w:t>
      </w:r>
      <w:r>
        <w:t xml:space="preserve"> </w:t>
      </w:r>
      <w:r>
        <w:t xml:space="preserve">merely reducing efficiency (Appendix A.3). The practitioner is therefore tied to</w:t>
      </w:r>
      <w:r>
        <w:t xml:space="preserve"> </w:t>
      </w:r>
      <w:r>
        <w:t xml:space="preserve">the 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differ by a factor of 15.7 at the site level, while</w:t>
      </w:r>
      <w:r>
        <w:t xml:space="preserve"> </w:t>
      </w:r>
      <w:r>
        <w:t xml:space="preserve">on</w:t>
      </w:r>
      <w:r>
        <w:t xml:space="preserve"> </w:t>
      </w:r>
      <w:r>
        <w:rPr>
          <w:rStyle w:val="VerbatimChar"/>
        </w:rPr>
        <w:t xml:space="preserve">strat_fold</w:t>
      </w:r>
      <w:r>
        <w:t xml:space="preserve">, whose blocks are almost uniform by construction, their ratio is</w:t>
      </w:r>
      <w:r>
        <w:t xml:space="preserve"> </w:t>
      </w:r>
      <w:r>
        <w:t xml:space="preserve">1.000, which serves as an internal check of the computation.</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 the product</w:t>
      </w:r>
      <w:r>
        <w:t xml:space="preserve"> </w:t>
      </w:r>
      <m:oMath>
        <m:r>
          <m:rPr>
            <m:sty m:val="p"/>
          </m:rPr>
          <m:t>(</m:t>
        </m:r>
        <m:r>
          <m:t>H</m:t>
        </m:r>
        <m:r>
          <m:rPr>
            <m:sty m:val="p"/>
          </m:rPr>
          <m:t>−</m:t>
        </m:r>
        <m:r>
          <m:t>1</m:t>
        </m:r>
        <m:r>
          <m:rPr>
            <m:sty m:val="p"/>
          </m:rPr>
          <m:t>)</m:t>
        </m:r>
        <m:r>
          <m:t>ρ</m:t>
        </m:r>
      </m:oMath>
      <w:r>
        <w:t xml:space="preserve">, the factor predicts no harm from dependence whenever blocks are close</w:t>
      </w:r>
      <w:r>
        <w:t xml:space="preserve"> </w:t>
      </w:r>
      <w:r>
        <w:t xml:space="preserve">to singletons, however strong the within-block correlation — contrary to what raw</w:t>
      </w:r>
      <w:r>
        <w:t xml:space="preserve"> </w:t>
      </w:r>
      <m:oMath>
        <m:r>
          <m:t>ρ</m:t>
        </m:r>
      </m:oMath>
      <w:r>
        <w:t xml:space="preserve"> </w:t>
      </w:r>
      <w:r>
        <w:t xml:space="preserve">would suggest. In the primary analysis</w:t>
      </w:r>
      <w:r>
        <w:t xml:space="preserve"> </w:t>
      </w:r>
      <m:oMath>
        <m:r>
          <m:t>ρ</m:t>
        </m:r>
      </m:oMath>
      <w:r>
        <w:t xml:space="preserve"> </w:t>
      </w:r>
      <w:r>
        <w:t xml:space="preserve">is estimated from conformity</w:t>
      </w:r>
      <w:r>
        <w:t xml:space="preserve"> </w:t>
      </w:r>
      <w:r>
        <w:t xml:space="preserve">scores, and the analysis is repeated with the indicator correlation</w:t>
      </w:r>
      <w:r>
        <w:t xml:space="preserve"> </w:t>
      </w:r>
      <m:oMath>
        <m:r>
          <m:t>ρ</m:t>
        </m:r>
        <m:r>
          <m:rPr>
            <m:sty m:val="p"/>
          </m:rPr>
          <m:t>(</m:t>
        </m:r>
        <m:r>
          <m:t>t</m:t>
        </m:r>
        <m:r>
          <m:rPr>
            <m:sty m:val="p"/>
          </m:rPr>
          <m:t>)</m:t>
        </m:r>
      </m:oMath>
      <w:r>
        <w:t xml:space="preserve"> </w:t>
      </w:r>
      <w:r>
        <w:t xml:space="preserve">(§5.4); §6.4 records when the axis was adopted. The axis serves only to rank</w:t>
      </w:r>
      <w:r>
        <w:t xml:space="preserve"> </w:t>
      </w:r>
      <w:r>
        <w:t xml:space="preserve">configurations and should not be read as a calibrated effective sample size. For</w:t>
      </w:r>
      <w:r>
        <w:t xml:space="preserve"> </w:t>
      </w:r>
      <w:r>
        <w:t xml:space="preserve">that quantity we defer to Noonan, who derives a closed-form effective sample size</w:t>
      </w:r>
      <w:r>
        <w:t xml:space="preserve"> </w:t>
      </w:r>
      <w:r>
        <w:t xml:space="preserve">for thresholds under clustering and shows that the correction now used in the</w:t>
      </w:r>
      <w:r>
        <w:t xml:space="preserve"> </w:t>
      </w:r>
      <w:r>
        <w:t xml:space="preserve">conformal literature targets the wrong quantity [40]. Our axis shares its key</w:t>
      </w:r>
      <w:r>
        <w:t xml:space="preserve"> </w:t>
      </w:r>
      <w:r>
        <w:t xml:space="preserve">ingredient, the correlation of threshold indicators, but remains a heuristic</w:t>
      </w:r>
      <w:r>
        <w:t xml:space="preserve"> </w:t>
      </w:r>
      <w:r>
        <w:t xml:space="preserve">under (A).</w:t>
      </w:r>
    </w:p>
    <w:bookmarkEnd w:id="14"/>
    <w:bookmarkStart w:id="18"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1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16" name="Picture"/>
            <a:graphic>
              <a:graphicData uri="http://schemas.openxmlformats.org/drawingml/2006/picture">
                <pic:pic>
                  <pic:nvPicPr>
                    <pic:cNvPr descr="figures/fig1_join_schematic.png" id="17" name="Picture"/>
                    <pic:cNvPicPr>
                      <a:picLocks noChangeArrowheads="1" noChangeAspect="1"/>
                    </pic:cNvPicPr>
                  </pic:nvPicPr>
                  <pic:blipFill>
                    <a:blip r:embed="rId15"/>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1.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the HCP/Dunn family. Whether</w:t>
      </w:r>
      <w:r>
        <w:t xml:space="preserve"> </w:t>
      </w:r>
      <w:r>
        <w:t xml:space="preserve">it extends to every distribution-free method whose validity rests on</w:t>
      </w:r>
      <w:r>
        <w:t xml:space="preserve"> </w:t>
      </w:r>
      <w:r>
        <w:t xml:space="preserve">between-block exchangeability remains open. We conjecture that it does, by</w:t>
      </w:r>
      <w:r>
        <w:t xml:space="preserve"> </w:t>
      </w:r>
      <w:r>
        <w:t xml:space="preserve">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w:t>
      </w:r>
      <w:r>
        <w:t xml:space="preserve"> </w:t>
      </w:r>
      <w:r>
        <w:t xml:space="preserve">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18"/>
    <w:bookmarkStart w:id="19"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19"/>
    <w:bookmarkEnd w:id="20"/>
    <w:bookmarkStart w:id="29"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2 outlines the protocol and</w:t>
      </w:r>
      <w:r>
        <w:t xml:space="preserve"> </w:t>
      </w:r>
      <w:r>
        <w:t xml:space="preserve">marks which four steps need only metadata and which two need conformity scores.</w:t>
      </w:r>
    </w:p>
    <w:p>
      <w:pPr>
        <w:pStyle w:val="CaptionedFigure"/>
        <w:jc w:val="both"/>
      </w:pPr>
      <w:r>
        <w:drawing>
          <wp:inline>
            <wp:extent cx="5334000" cy="1397151"/>
            <wp:effectExtent b="0" l="0" r="0" t="0"/>
            <wp:docPr descr="Fig. 2. Audit protocol. The first four steps use metadata only and return verdicts that are exact given the declared dependence sources, before any patient is enrolled or any model trained; the last two require conformity scores from a trained model." title="" id="22" name="Picture"/>
            <a:graphic>
              <a:graphicData uri="http://schemas.openxmlformats.org/drawingml/2006/picture">
                <pic:pic>
                  <pic:nvPicPr>
                    <pic:cNvPr descr="figures/fig2_audit_workflow.png" id="23" name="Picture"/>
                    <pic:cNvPicPr>
                      <a:picLocks noChangeArrowheads="1" noChangeAspect="1"/>
                    </pic:cNvPicPr>
                  </pic:nvPicPr>
                  <pic:blipFill>
                    <a:blip r:embed="rId21"/>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2. Audit protocol. The first four steps use metadata only and return verdicts that are exact given the declared dependence sources, before any patient is enrolled or any model trained; the last two require conformity scores from a trained model.</w:t>
      </w:r>
    </w:p>
    <w:bookmarkStart w:id="24"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I states the purpose of each and, for the two primary datasets,</w:t>
      </w:r>
      <w:r>
        <w:t xml:space="preserve"> </w:t>
      </w:r>
      <w:r>
        <w:t xml:space="preserve">the block geometry that puts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I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[2], [15] comprises 21,799 twelve-lead records from</w:t>
      </w:r>
      <w:r>
        <w:t xml:space="preserve"> </w:t>
      </w:r>
      <w:r>
        <w:t xml:space="preserve">18,869 patients and is distributed with full metadata under a permissive</w:t>
      </w:r>
      <w:r>
        <w:t xml:space="preserve"> </w:t>
      </w:r>
      <w:r>
        <w:t xml:space="preserve">licence. We work with the 100 Hz version, i.e. 1,000 samples per 10-second</w:t>
      </w:r>
      <w:r>
        <w:t xml:space="preserve"> </w:t>
      </w:r>
      <w:r>
        <w:t xml:space="preserve">record, after band-pass filtering at 0.5–40 Hz. Its diagnostic statements fall</w:t>
      </w:r>
      <w:r>
        <w:t xml:space="preserve"> </w:t>
      </w:r>
      <w:r>
        <w:t xml:space="preserve">into five superclasses that are not mutually exclusive: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(4),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[16] consists of 48 two-channel</w:t>
      </w:r>
      <w:r>
        <w:t xml:space="preserve"> </w:t>
      </w:r>
      <w:r>
        <w:t xml:space="preserve">recordings of half an hour each, sampled at 360 Hz and annotated beat by beat by</w:t>
      </w:r>
      <w:r>
        <w:t xml:space="preserve"> </w:t>
      </w:r>
      <w:r>
        <w:t xml:space="preserve">cardiologists. As is customary, the four paced records (102, 104, 107, 217) are</w:t>
      </w:r>
      <w:r>
        <w:t xml:space="preserve"> </w:t>
      </w:r>
      <w:r>
        <w:t xml:space="preserve">removed, leaving 44. Mapping the annotations to the five AAMI classes gives</w:t>
      </w:r>
      <w:r>
        <w:t xml:space="preserve"> </w:t>
      </w:r>
      <w:r>
        <w:t xml:space="preserve">100,733 beats. Of these, 40 sit within 128 samples of a record boundary, too close</w:t>
      </w:r>
      <w:r>
        <w:t xml:space="preserve"> </w:t>
      </w:r>
      <w:r>
        <w:t xml:space="preserve">to fit a full 256-sample (711 ms) window; we drop them instead of zero-padding,</w:t>
      </w:r>
      <w:r>
        <w:t xml:space="preserve"> </w:t>
      </w:r>
      <w:r>
        <w:t xml:space="preserve">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[17] has seven</w:t>
      </w:r>
      <w:r>
        <w:t xml:space="preserve"> </w:t>
      </w:r>
      <w:r>
        <w:t xml:space="preserve">non-duplicate source folders totalling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w:t>
      </w:r>
      <w:r>
        <w:t xml:space="preserve"> </w:t>
      </w:r>
      <w:r>
        <w:t xml:space="preserve">repeats PTB-XL and is left out; together the two totals give the official</w:t>
      </w:r>
      <w:r>
        <w:t xml:space="preserve"> </w:t>
      </w:r>
      <w:r>
        <w:t xml:space="preserve">88,253. In a sample of 42 headers drawn from all seven sources, none of the</w:t>
      </w:r>
      <w:r>
        <w:t xml:space="preserve"> </w:t>
      </w:r>
      <w:r>
        <w:t xml:space="preserve">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w:t>
      </w:r>
      <w:r>
        <w:t xml:space="preserve"> </w:t>
      </w:r>
      <w:r>
        <w:t xml:space="preserve">documented as identifying the patient; because this is a sample and the header</w:t>
      </w:r>
      <w:r>
        <w:t xml:space="preserve"> </w:t>
      </w:r>
      <w:r>
        <w:t xml:space="preserve">schema differs between sources, we claim nothing beyond it. Repetition, on the</w:t>
      </w:r>
      <w:r>
        <w:t xml:space="preserve"> </w:t>
      </w:r>
      <w:r>
        <w:t xml:space="preserve">other hand, is documented: the INCART source is described as</w:t>
      </w:r>
      <w:r>
        <w:t xml:space="preserve"> </w:t>
      </w:r>
      <w:r>
        <w:rPr>
          <w:i/>
          <w:iCs/>
        </w:rPr>
        <w:t xml:space="preserve">“74 annotated ECGs</w:t>
      </w:r>
      <w:r>
        <w:rPr>
          <w:i/>
          <w:iCs/>
        </w:rPr>
        <w:t xml:space="preserve"> </w:t>
      </w:r>
      <w:r>
        <w:rPr>
          <w:i/>
          <w:iCs/>
        </w:rPr>
        <w:t xml:space="preserve">… extracted from 32 Holter monitor recordings,”</w:t>
      </w:r>
      <w:r>
        <w:t xml:space="preserve"> </w:t>
      </w:r>
      <w:r>
        <w:t xml:space="preserve">and the excluded</w:t>
      </w:r>
      <w:r>
        <w:t xml:space="preserve"> </w:t>
      </w:r>
      <w:r>
        <w:rPr>
          <w:rStyle w:val="VerbatimChar"/>
        </w:rPr>
        <w:t xml:space="preserve">ptb-xl</w:t>
      </w:r>
      <w:r>
        <w:t xml:space="preserve"> </w:t>
      </w:r>
      <w:r>
        <w:t xml:space="preserve">folder contains 21,837 records from 18,869 patients. Independent units are</w:t>
      </w:r>
      <w:r>
        <w:t xml:space="preserve"> </w:t>
      </w:r>
      <w:r>
        <w:t xml:space="preserve">therefore fewer than records, and the fact that the partition cannot be observed</w:t>
      </w:r>
      <w:r>
        <w:t xml:space="preserve"> </w:t>
      </w:r>
      <w:r>
        <w:t xml:space="preserve">is no evidence that records are independent. The source partition, with</w:t>
      </w:r>
      <w:r>
        <w:t xml:space="preserve"> </w:t>
      </w:r>
      <m:oMath>
        <m:r>
          <m:t>K</m:t>
        </m:r>
        <m:r>
          <m:rPr>
            <m:sty m:val="p"/>
          </m:rPr>
          <m:t>=</m:t>
        </m:r>
        <m:r>
          <m:t>7</m:t>
        </m:r>
      </m:oMath>
      <w:r>
        <w:t xml:space="preserve">,</w:t>
      </w:r>
      <w:r>
        <w:t xml:space="preserve"> </w:t>
      </w:r>
      <w:r>
        <w:t xml:space="preserve">is the only grouping the documentation supports, so by Proposition 1 any</w:t>
      </w:r>
      <w:r>
        <w:t xml:space="preserve"> </w:t>
      </w:r>
      <w:r>
        <w:t xml:space="preserve">calibration 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w:t>
      </w:r>
      <w:r>
        <w:t xml:space="preserve"> </w:t>
      </w:r>
      <w:r>
        <w:t xml:space="preserve">out; this bound refers to the source partition and not to the dataset. For the</w:t>
      </w:r>
      <w:r>
        <w:t xml:space="preserve"> </w:t>
      </w:r>
      <w:r>
        <w:t xml:space="preserve">patient partition</w:t>
      </w:r>
      <w:r>
        <w:t xml:space="preserve"> </w:t>
      </w:r>
      <m:oMath>
        <m:sSub>
          <m:e>
            <m:r>
              <m:t>K</m:t>
            </m:r>
          </m:e>
          <m:sub>
            <m:r>
              <m:t>1</m:t>
            </m:r>
          </m:sub>
        </m:sSub>
      </m:oMath>
      <w:r>
        <w:t xml:space="preserve"> </w:t>
      </w:r>
      <w:r>
        <w:t xml:space="preserve">turns into an assumption that authors must state, and we</w:t>
      </w:r>
      <w:r>
        <w:t xml:space="preserve"> </w:t>
      </w:r>
      <w:r>
        <w:t xml:space="preserve">do not report a single</w:t>
      </w:r>
      <w:r>
        <w:t xml:space="preserve"> </w:t>
      </w:r>
      <m:oMath>
        <m:sSub>
          <m:e>
            <m:r>
              <m:t>α</m:t>
            </m:r>
          </m:e>
          <m:sub>
            <m:r>
              <m:rPr>
                <m:sty m:val="p"/>
              </m:rPr>
              <m:t>min</m:t>
            </m:r>
          </m:sub>
        </m:sSub>
      </m:oMath>
      <w:r>
        <w:t xml:space="preserve">. Sufficiency, moreover, presumes a latent</w:t>
      </w:r>
      <w:r>
        <w:t xml:space="preserve"> </w:t>
      </w:r>
      <w:r>
        <w:t xml:space="preserve">block structure [13]; should similarity within an institution fade gradually,</w:t>
      </w:r>
      <w:r>
        <w:t xml:space="preserve"> </w:t>
      </w:r>
      <w:r>
        <w:t xml:space="preserve">for instance with how close acquisition protocols are, the condition would be</w:t>
      </w:r>
      <w:r>
        <w:t xml:space="preserve"> </w:t>
      </w:r>
      <w:r>
        <w:t xml:space="preserve">ill-posed rather than just unobservable. All of these checks needed roughly</w:t>
      </w:r>
      <w:r>
        <w:t xml:space="preserve"> </w:t>
      </w:r>
      <w:r>
        <w:t xml:space="preserve">0.5 MB of downloads (70 index files and 42 headers) out of a 12.6 GB dataset,</w:t>
      </w:r>
      <w:r>
        <w:t xml:space="preserve"> </w:t>
      </w:r>
      <w:r>
        <w:t xml:space="preserve">before any preprocessing or training.</w:t>
      </w:r>
    </w:p>
    <w:bookmarkEnd w:id="24"/>
    <w:bookmarkStart w:id="25"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bookmarkEnd w:id="25"/>
    <w:bookmarkStart w:id="26"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and are not</w:t>
      </w:r>
      <w:r>
        <w:t xml:space="preserve"> </w:t>
      </w:r>
      <w:r>
        <w:t xml:space="preserve">retrained. The primary backbone attains a macro-AUROC of 0.9016 on PTB-XL and, on</w:t>
      </w:r>
      <w:r>
        <w:t xml:space="preserve"> </w:t>
      </w:r>
      <w:r>
        <w:t xml:space="preserve">MIT-BIH, an accuracy of 0.8690 with balanced accuracy 0.3748 and macro-F1 0.3144;</w:t>
      </w:r>
      <w:r>
        <w:t xml:space="preserve"> </w:t>
      </w:r>
      <w:r>
        <w:t xml:space="preserve">its weakness on minority classes enlarges sets but leaves coverage intact.</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6"/>
    <w:bookmarkStart w:id="27"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Friedman–Nemenyi tests are deliberately avoided: they are meant for many</w:t>
      </w:r>
      <w:r>
        <w:t xml:space="preserve"> </w:t>
      </w:r>
      <w:r>
        <w:t xml:space="preserve">classifiers over many datasets, conventionally five or more, and are</w:t>
      </w:r>
      <w:r>
        <w:t xml:space="preserve"> </w:t>
      </w:r>
      <w:r>
        <w:t xml:space="preserve">uninformative with two. The procedure used for each reported quantity is listed</w:t>
      </w:r>
      <w:r>
        <w:t xml:space="preserve"> </w:t>
      </w:r>
      <w:r>
        <w:t xml:space="preserve">in Table II.</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keepNext/>
            </w:pPr>
            <w:r>
              <w:rPr>
                <w:b/>
                <w:sz w:val="17"/>
              </w:rPr>
              <w:t xml:space="preserve">Quantity</w:t>
            </w:r>
          </w:p>
        </w:tc>
        <w:tc>
          <w:tcPr/>
          <w:p>
            <w:pPr>
              <w:pStyle w:val="Compact"/>
              <w:keepNext/>
            </w:pPr>
            <w:r>
              <w:rPr>
                <w:b/>
                <w:sz w:val="17"/>
              </w:rPr>
              <w:t xml:space="preserve">Procedure</w:t>
            </w:r>
          </w:p>
        </w:tc>
      </w:tr>
      <w:tr>
        <w:tc>
          <w:tcPr/>
          <w:p>
            <w:pPr>
              <w:pStyle w:val="Compact"/>
              <w:keepNext/>
            </w:pPr>
            <w:r>
              <w:rPr>
                <w:sz w:val="17"/>
              </w:rPr>
              <w:t xml:space="preserve">Coverage and set size</w:t>
            </w:r>
          </w:p>
        </w:tc>
        <w:tc>
          <w:tcPr/>
          <w:p>
            <w:pPr>
              <w:pStyle w:val="Compact"/>
              <w:keepNext/>
            </w:pPr>
            <w:r>
              <w:rPr>
                <w:sz w:val="17"/>
              </w:rPr>
              <w:t xml:space="preserve">Mean over 200 random block-level splits; 2.5–97.5% range across splits</w:t>
            </w:r>
          </w:p>
        </w:tc>
      </w:tr>
      <w:tr>
        <w:tc>
          <w:tcPr/>
          <w:p>
            <w:pPr>
              <w:pStyle w:val="Compact"/>
              <w:keepNext/>
            </w:pPr>
            <w:r>
              <w:rPr>
                <w:sz w:val="17"/>
              </w:rPr>
              <w:t xml:space="preserve">B1 deficit against the permutation null</w:t>
            </w:r>
          </w:p>
        </w:tc>
        <w:tc>
          <w:tcPr/>
          <w:p>
            <w:pPr>
              <w:pStyle w:val="Compact"/>
              <w:keepNext/>
            </w:pPr>
            <w:r>
              <w:rPr>
                <w:sz w:val="17"/>
              </w:rPr>
              <w:t xml:space="preserve">Percentile bootstrap (4,000 resamples of split-level coverage), 95% CI; one-sided bootstrap</w:t>
            </w:r>
            <w:r>
              <w:rPr>
                <w:sz w:val="17"/>
              </w:rPr>
              <w:t xml:space="preserve"> </w:t>
            </w:r>
            <m:oMath>
              <m:r>
                <m:t>p</m:t>
              </m:r>
            </m:oMath>
          </w:p>
        </w:tc>
      </w:tr>
      <w:tr>
        <w:tc>
          <w:tcPr/>
          <w:p>
            <w:pPr>
              <w:pStyle w:val="Compact"/>
              <w:keepNext/>
            </w:pPr>
            <w:r>
              <w:rPr>
                <w:sz w:val="17"/>
              </w:rPr>
              <w:t xml:space="preserve">Multiplicity</w:t>
            </w:r>
          </w:p>
        </w:tc>
        <w:tc>
          <w:tcPr/>
          <w:p>
            <w:pPr>
              <w:pStyle w:val="Compact"/>
              <w:keepNex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keepNext/>
            </w:pPr>
            <w:r>
              <w:rPr>
                <w:sz w:val="17"/>
              </w:rPr>
              <w:t xml:space="preserve">Factorial effects</w:t>
            </w:r>
          </w:p>
        </w:tc>
        <w:tc>
          <w:tcPr/>
          <w:p>
            <w:pPr>
              <w:pStyle w:val="Compact"/>
              <w:keepNext/>
            </w:pPr>
            <w:r>
              <w:rPr>
                <w:sz w:val="17"/>
              </w:rPr>
              <w:t xml:space="preserve">Percentile bootstrap (3,000 resamples of 400 split-level values), 95% CI</w:t>
            </w:r>
          </w:p>
        </w:tc>
      </w:tr>
      <w:tr>
        <w:tc>
          <w:tcPr/>
          <w:p>
            <w:pPr>
              <w:pStyle w:val="Compact"/>
              <w:keepNext/>
            </w:pPr>
            <w:r>
              <w:rPr>
                <w:sz w:val="17"/>
              </w:rPr>
              <w:t xml:space="preserve">Monotonicity in dependence</w:t>
            </w:r>
          </w:p>
        </w:tc>
        <w:tc>
          <w:tcPr/>
          <w:p>
            <w:pPr>
              <w:pStyle w:val="Compact"/>
              <w:keepNex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7"/>
    <w:bookmarkStart w:id="28" w:name="reproducibility"/>
    <w:p>
      <w:pPr>
        <w:pStyle w:val="Heading2"/>
      </w:pPr>
      <w:r>
        <w:t xml:space="preserve">4.5 Reproducibility</w:t>
      </w:r>
    </w:p>
    <w:p>
      <w:pPr>
        <w:pStyle w:val="FirstParagraph"/>
        <w:jc w:val="both"/>
      </w:pPr>
      <w:r>
        <w:t xml:space="preserve">Experiments run on CPU (2 threads) with fixed seeds.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8"/>
    <w:bookmarkEnd w:id="29"/>
    <w:bookmarkStart w:id="53"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6"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III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1" name="Picture"/>
            <a:graphic>
              <a:graphicData uri="http://schemas.openxmlformats.org/drawingml/2006/picture">
                <pic:pic>
                  <pic:nvPicPr>
                    <pic:cNvPr descr="figures/fig3_feasibility_frontier.png" id="32" name="Picture"/>
                    <pic:cNvPicPr>
                      <a:picLocks noChangeArrowheads="1" noChangeAspect="1"/>
                    </pic:cNvPicPr>
                  </pic:nvPicPr>
                  <pic:blipFill>
                    <a:blip r:embed="rId30"/>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IV tallies the failing labels at each level of the</w:t>
      </w:r>
      <w:r>
        <w:t xml:space="preserve"> </w:t>
      </w:r>
      <w:r>
        <w:t xml:space="preserve">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IV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4" name="Picture"/>
            <a:graphic>
              <a:graphicData uri="http://schemas.openxmlformats.org/drawingml/2006/picture">
                <pic:pic>
                  <pic:nvPicPr>
                    <pic:cNvPr descr="figures/fig4_label_feasibility.png" id="35" name="Picture"/>
                    <pic:cNvPicPr>
                      <a:picLocks noChangeArrowheads="1" noChangeAspect="1"/>
                    </pic:cNvPicPr>
                  </pic:nvPicPr>
                  <pic:blipFill>
                    <a:blip r:embed="rId33"/>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6"/>
    <w:bookmarkStart w:id="40"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V lists coverage and set size for both</w:t>
      </w:r>
      <w:r>
        <w:t xml:space="preserve"> </w:t>
      </w:r>
      <w:r>
        <w:t xml:space="preserve">methods with the 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c>
          <w:tcPr/>
          <w:p>
            <w:pPr>
              <w:pStyle w:val="Compact"/>
              <w:keepNext/>
            </w:pPr>
          </w:p>
        </w:tc>
        <w:tc>
          <w:tcPr/>
          <w:p>
            <w:pPr>
              <w:pStyle w:val="Compact"/>
              <w:keepNext/>
              <w:jc w:val="right"/>
            </w:pPr>
            <w:r>
              <w:rPr>
                <w:sz w:val="17"/>
              </w:rPr>
              <w:t xml:space="preserve">0.20</w:t>
            </w:r>
          </w:p>
        </w:tc>
        <w:tc>
          <w:tcPr/>
          <w:p>
            <w:pPr>
              <w:pStyle w:val="Compact"/>
              <w:keepNext/>
            </w:pPr>
            <w:r>
              <w:rPr>
                <w:sz w:val="17"/>
              </w:rPr>
              <w:t xml:space="preserve">0.7764 [0.5542, 0.9462]</w:t>
            </w:r>
          </w:p>
        </w:tc>
        <w:tc>
          <w:tcPr/>
          <w:p>
            <w:pPr>
              <w:pStyle w:val="Compact"/>
              <w:keepNext/>
              <w:jc w:val="right"/>
            </w:pPr>
            <w:r>
              <w:rPr>
                <w:sz w:val="17"/>
              </w:rPr>
              <w:t xml:space="preserve">0.8642</w:t>
            </w:r>
          </w:p>
        </w:tc>
        <w:tc>
          <w:tcPr/>
          <w:p>
            <w:pPr>
              <w:pStyle w:val="Compact"/>
              <w:keepNext/>
              <w:jc w:val="right"/>
            </w:pPr>
            <w:r>
              <w:rPr>
                <w:sz w:val="17"/>
              </w:rPr>
              <w:t xml:space="preserve">0.834</w:t>
            </w:r>
          </w:p>
        </w:tc>
        <w:tc>
          <w:tcPr/>
          <w:p>
            <w:pPr>
              <w:pStyle w:val="Compact"/>
              <w:keepNext/>
              <w:jc w:val="right"/>
            </w:pPr>
            <w:r>
              <w:rPr>
                <w:sz w:val="17"/>
              </w:rPr>
              <w:t xml:space="preserve">1.001</w:t>
            </w:r>
          </w:p>
        </w:tc>
      </w:tr>
      <w:t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8" name="Picture"/>
            <a:graphic>
              <a:graphicData uri="http://schemas.openxmlformats.org/drawingml/2006/picture">
                <pic:pic>
                  <pic:nvPicPr>
                    <pic:cNvPr descr="figures/fig5_coverage.png" id="39" name="Picture"/>
                    <pic:cNvPicPr>
                      <a:picLocks noChangeArrowheads="1" noChangeAspect="1"/>
                    </pic:cNvPicPr>
                  </pic:nvPicPr>
                  <pic:blipFill>
                    <a:blip r:embed="rId37"/>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0"/>
    <w:bookmarkStart w:id="44"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VI gives the B1 deficit relative to this</w:t>
      </w:r>
      <w:r>
        <w:t xml:space="preserve"> </w:t>
      </w:r>
      <w:r>
        <w:t xml:space="preserve">null for each backbone. For the primary backbone (first row) the deficit is</w:t>
      </w:r>
      <w:r>
        <w:t xml:space="preserve"> </w:t>
      </w:r>
      <w:r>
        <w:t xml:space="preserve">positive at all three feasible levels and remains significant at each after Holm</w:t>
      </w:r>
      <w:r>
        <w:t xml:space="preserve"> </w:t>
      </w:r>
      <w:r>
        <w:t xml:space="preserve">correction across levels (adjusted one-sided</w:t>
      </w:r>
      <w:r>
        <w:t xml:space="preserve"> </w:t>
      </w:r>
      <m:oMath>
        <m:r>
          <m:t>p</m:t>
        </m:r>
        <m:r>
          <m:rPr>
            <m:sty m:val="p"/>
          </m:rPr>
          <m:t>≤</m:t>
        </m:r>
        <m:r>
          <m:t>0.0075</m:t>
        </m:r>
      </m:oMath>
      <w:r>
        <w:t xml:space="preserve">).</w:t>
      </w:r>
    </w:p>
    <w:p>
      <w:pPr>
        <w:pStyle w:val="BodyText"/>
        <w:keepNext/>
        <w:spacing w:before="160"/>
        <w:jc w:val="center"/>
      </w:pPr>
      <w:r/>
      <w:r>
        <w:rPr>
          <w:sz w:val="18"/>
        </w:rPr>
        <w:t>TABLE VI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keepNext/>
            </w:pPr>
            <w:r>
              <w:rPr>
                <w:b/>
                <w:sz w:val="17"/>
              </w:rPr>
              <w:t xml:space="preserve">Backbone</w:t>
            </w:r>
          </w:p>
        </w:tc>
        <w:tc>
          <w:tcPr/>
          <w:p>
            <w:pPr>
              <w:pStyle w:val="Compact"/>
              <w:keepNext/>
              <w:jc w:val="right"/>
            </w:pPr>
            <w:r>
              <w:rPr>
                <w:b/>
                <w:sz w:val="17"/>
              </w:rPr>
              <w:t xml:space="preserve">Score ICC</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c>
          <w:tcPr/>
          <w:p>
            <w:pPr>
              <w:pStyle w:val="Compact"/>
              <w:keepNext/>
              <w:jc w:val="center"/>
            </w:pPr>
            <w:r>
              <w:rPr>
                <w:b/>
                <w:sz w:val="17"/>
              </w:rPr>
              <w:t xml:space="preserve">CI</w:t>
            </w:r>
          </w:p>
        </w:tc>
        <w:tc>
          <w:tcPr/>
          <w:p>
            <w:pPr>
              <w:pStyle w:val="Compact"/>
              <w:keepNext/>
              <w:jc w:val="center"/>
            </w:pPr>
            <w:r>
              <w:rPr>
                <w:b/>
                <w:sz w:val="17"/>
              </w:rPr>
              <w:t xml:space="preserve">Holm</w:t>
            </w:r>
          </w:p>
        </w:tc>
      </w:tr>
      <w:tr>
        <w:tc>
          <w:tcPr/>
          <w:p>
            <w:pPr>
              <w:pStyle w:val="Compact"/>
              <w:keepNext/>
            </w:pPr>
            <w:r>
              <w:rPr>
                <w:sz w:val="17"/>
              </w:rPr>
              <w:t xml:space="preserve">SmallECGNet</w:t>
            </w:r>
          </w:p>
        </w:tc>
        <w:tc>
          <w:tcPr/>
          <w:p>
            <w:pPr>
              <w:pStyle w:val="Compact"/>
              <w:keepNext/>
              <w:jc w:val="right"/>
            </w:pPr>
            <w:r>
              <w:rPr>
                <w:sz w:val="17"/>
              </w:rPr>
              <w:t xml:space="preserve">0.519</w:t>
            </w:r>
          </w:p>
        </w:tc>
        <w:tc>
          <w:tcPr/>
          <w:p>
            <w:pPr>
              <w:pStyle w:val="Compact"/>
              <w:keepNext/>
            </w:pPr>
            <w:r>
              <w:rPr>
                <w:sz w:val="17"/>
              </w:rPr>
              <w:t xml:space="preserve">+1.49 [0.34, 2.71]</w:t>
            </w:r>
          </w:p>
        </w:tc>
        <w:tc>
          <w:tcPr/>
          <w:p>
            <w:pPr>
              <w:pStyle w:val="Compact"/>
              <w:keepNext/>
            </w:pPr>
            <w:r>
              <w:rPr>
                <w:sz w:val="17"/>
              </w:rPr>
              <w:t xml:space="preserve">+2.21 [0.85, 3.60]</w:t>
            </w:r>
          </w:p>
        </w:tc>
        <w:tc>
          <w:tcPr/>
          <w:p>
            <w:pPr>
              <w:pStyle w:val="Compact"/>
              <w:keepNext/>
            </w:pPr>
            <w:r>
              <w:rPr>
                <w:sz w:val="17"/>
              </w:rPr>
              <w:t xml:space="preserve">+2.37 [0.79, 3.93]</w:t>
            </w:r>
          </w:p>
        </w:tc>
        <w:tc>
          <w:tcPr/>
          <w:p>
            <w:pPr>
              <w:pStyle w:val="Compact"/>
              <w:keepNext/>
              <w:jc w:val="center"/>
            </w:pPr>
            <w:r>
              <w:rPr>
                <w:sz w:val="17"/>
              </w:rPr>
              <w:t xml:space="preserve">3/3</w:t>
            </w:r>
          </w:p>
        </w:tc>
        <w:tc>
          <w:tcPr/>
          <w:p>
            <w:pPr>
              <w:pStyle w:val="Compact"/>
              <w:keepNext/>
              <w:jc w:val="center"/>
            </w:pPr>
            <w:r>
              <w:rPr>
                <w:sz w:val="17"/>
              </w:rPr>
              <w:t xml:space="preserve">3/3</w:t>
            </w:r>
          </w:p>
        </w:tc>
      </w:tr>
      <w:tr>
        <w:tc>
          <w:tcPr/>
          <w:p>
            <w:pPr>
              <w:pStyle w:val="Compact"/>
              <w:keepNext/>
            </w:pPr>
            <w:r>
              <w:rPr>
                <w:sz w:val="17"/>
              </w:rPr>
              <w:t xml:space="preserve">ResNet1D-34</w:t>
            </w:r>
          </w:p>
        </w:tc>
        <w:tc>
          <w:tcPr/>
          <w:p>
            <w:pPr>
              <w:pStyle w:val="Compact"/>
              <w:keepNext/>
              <w:jc w:val="right"/>
            </w:pPr>
            <w:r>
              <w:rPr>
                <w:sz w:val="17"/>
              </w:rPr>
              <w:t xml:space="preserve">0.436</w:t>
            </w:r>
          </w:p>
        </w:tc>
        <w:tc>
          <w:tcPr/>
          <w:p>
            <w:pPr>
              <w:pStyle w:val="Compact"/>
              <w:keepNext/>
            </w:pPr>
            <w:r>
              <w:rPr>
                <w:sz w:val="17"/>
              </w:rPr>
              <w:t xml:space="preserve">+1.15 [0.10, 2.23]</w:t>
            </w:r>
          </w:p>
        </w:tc>
        <w:tc>
          <w:tcPr/>
          <w:p>
            <w:pPr>
              <w:pStyle w:val="Compact"/>
              <w:keepNext/>
            </w:pPr>
            <w:r>
              <w:rPr>
                <w:sz w:val="17"/>
              </w:rPr>
              <w:t xml:space="preserve">+1.02 [−0.16, 2.23]</w:t>
            </w:r>
          </w:p>
        </w:tc>
        <w:tc>
          <w:tcPr/>
          <w:p>
            <w:pPr>
              <w:pStyle w:val="Compact"/>
              <w:keepNext/>
            </w:pPr>
            <w:r>
              <w:rPr>
                <w:sz w:val="17"/>
              </w:rPr>
              <w:t xml:space="preserve">+0.81 [−0.59, 2.17]</w:t>
            </w:r>
          </w:p>
        </w:tc>
        <w:tc>
          <w:tcPr/>
          <w:p>
            <w:pPr>
              <w:pStyle w:val="Compact"/>
              <w:keepNext/>
              <w:jc w:val="center"/>
            </w:pPr>
            <w:r>
              <w:rPr>
                <w:sz w:val="17"/>
              </w:rPr>
              <w:t xml:space="preserve">1/3</w:t>
            </w:r>
          </w:p>
        </w:tc>
        <w:tc>
          <w:tcPr/>
          <w:p>
            <w:pPr>
              <w:pStyle w:val="Compact"/>
              <w:keepNex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while holding the calibration size fixed.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and every interval</w:t>
      </w:r>
      <w:r>
        <w:t xml:space="preserve"> </w:t>
      </w:r>
      <w:r>
        <w:t xml:space="preserve">excluded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 0.10). Neither the imbalance</w:t>
      </w:r>
      <w:r>
        <w:t xml:space="preserve"> </w:t>
      </w:r>
      <w:r>
        <w:t xml:space="preserve">effect (−0.44, −0.26, −0.27 pp) nor the interaction reached significance at any</w:t>
      </w:r>
      <w:r>
        <w:t xml:space="preserve"> </w:t>
      </w:r>
      <w:r>
        <w:t xml:space="preserve">level, so block-size imbalance, the obvious rival explanation, does not account</w:t>
      </w:r>
      <w:r>
        <w:t xml:space="preserve"> </w:t>
      </w:r>
      <w:r>
        <w:t xml:space="preserve">for the deficit. Fig. 6 places the two controls next to each other: panel (a)</w:t>
      </w:r>
      <w:r>
        <w:t xml:space="preserve"> </w:t>
      </w:r>
      <w:r>
        <w:t xml:space="preserve">shows that only the clustering effect excludes zero, and panel (b) that the</w:t>
      </w:r>
      <w:r>
        <w:t xml:space="preserve"> </w:t>
      </w:r>
      <w:r>
        <w:t xml:space="preserve">B12−B1 gap keeps nearly its full size once dependence is permuted 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95% bootstrap CI; open markers include zero). (b) B12−B1 coverage gap on the original data and after permuting beats between records (bars: mean; whiskers: 2.5–97.5% range across splits). Percentages give the mechanical share, the permuted gap as a fraction of the original." title="" id="42" name="Picture"/>
            <a:graphic>
              <a:graphicData uri="http://schemas.openxmlformats.org/drawingml/2006/picture">
                <pic:pic>
                  <pic:nvPicPr>
                    <pic:cNvPr descr="figures/fig6_attribution.png" id="43" name="Picture"/>
                    <pic:cNvPicPr>
                      <a:picLocks noChangeArrowheads="1" noChangeAspect="1"/>
                    </pic:cNvPicPr>
                  </pic:nvPicPr>
                  <pic:blipFill>
                    <a:blip r:embed="rId41"/>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(95% bootstrap CI; open markers include zero). (b) B12−B1 coverage gap on the original data and after permuting beats between records (bars: mean; whiskers: 2.5–97.5% range across splits). Percentages give the mechanical share, the permuted gap as a fraction of the original.</w:t>
      </w:r>
    </w:p>
    <w:bookmarkEnd w:id="44"/>
    <w:bookmarkStart w:id="48"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fixing every block at 1,355 beats, so</w:t>
      </w:r>
      <w:r>
        <w:t xml:space="preserve"> </w:t>
      </w:r>
      <w:r>
        <w:t xml:space="preserve">that imbalance cannot play a role (11 values of</w:t>
      </w:r>
      <w:r>
        <w:t xml:space="preserve"> </w:t>
      </w:r>
      <m:oMath>
        <m:r>
          <m:t>p</m:t>
        </m:r>
      </m:oMath>
      <w:r>
        <w:t xml:space="preserve">, 300 splits each).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 blocks</w:t>
      </w:r>
      <w:r>
        <w:t xml:space="preserve"> </w:t>
      </w:r>
      <w:r>
        <w:t xml:space="preserve">are uniform and calibration is subsampled,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all per-point intervals include zero; the</w:t>
      </w:r>
      <w:r>
        <w:t xml:space="preserve"> </w:t>
      </w:r>
      <w:r>
        <w:t xml:space="preserve">evidence therefore rests on the trend, which the pre-registered Spearman</w:t>
      </w:r>
      <w:r>
        <w:t xml:space="preserve"> </w:t>
      </w:r>
      <w:r>
        <w:t xml:space="preserve">criterion tests. Table VII reports this criterion on three dependence axes, and</w:t>
      </w:r>
      <w:r>
        <w:t xml:space="preserve"> </w:t>
      </w:r>
      <w:r>
        <w:t xml:space="preserve">within MIT-BIH the deficit grows with ICC at all three levels.</w:t>
      </w:r>
    </w:p>
    <w:p>
      <w:pPr>
        <w:pStyle w:val="BodyText"/>
        <w:keepNext/>
        <w:spacing w:before="160"/>
        <w:jc w:val="center"/>
      </w:pPr>
      <w:r/>
      <w:r>
        <w:rPr>
          <w:sz w:val="18"/>
        </w:rPr>
        <w:t>TABLE VII</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and significant;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slight over-coverage with every interval spanning zero.</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46" name="Picture"/>
            <a:graphic>
              <a:graphicData uri="http://schemas.openxmlformats.org/drawingml/2006/picture">
                <pic:pic>
                  <pic:nvPicPr>
                    <pic:cNvPr descr="figures/fig7_dose_response.png" id="47" name="Picture"/>
                    <pic:cNvPicPr>
                      <a:picLocks noChangeArrowheads="1" noChangeAspect="1"/>
                    </pic:cNvPicPr>
                  </pic:nvPicPr>
                  <pic:blipFill>
                    <a:blip r:embed="rId45"/>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8"/>
    <w:bookmarkStart w:id="52"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VIII sets out the discrimination of all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permutation test was rerun</w:t>
      </w:r>
      <w:r>
        <w:t xml:space="preserve"> </w:t>
      </w:r>
      <w:r>
        <w:t xml:space="preserve">for each backbone against a criterion set in advance, namely significance at</w:t>
      </w:r>
      <w:r>
        <w:t xml:space="preserve"> </w:t>
      </w:r>
      <w:r>
        <w:t xml:space="preserve">every feasible</w:t>
      </w:r>
      <w:r>
        <w:t xml:space="preserve"> </w:t>
      </w:r>
      <m:oMath>
        <m:r>
          <m:t>α</m:t>
        </m:r>
      </m:oMath>
      <w:r>
        <w:t xml:space="preserve"> </w:t>
      </w:r>
      <w:r>
        <w:t xml:space="preserve">(Table VI). The deficit is positive in all 9 cells and</w:t>
      </w:r>
      <w:r>
        <w:t xml:space="preserve"> </w:t>
      </w:r>
      <w:r>
        <w:t xml:space="preserve">its 95% interval excludes zero in 7. After Holm correction it is significant at</w:t>
      </w:r>
      <w:r>
        <w:t xml:space="preserve"> </w:t>
      </w:r>
      <w:r>
        <w:t xml:space="preserve">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w:t>
      </w:r>
      <w:r>
        <w:t xml:space="preserve"> </w:t>
      </w:r>
      <w:r>
        <w:t xml:space="preserve">but at no level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 so the</w:t>
      </w:r>
      <w:r>
        <w:t xml:space="preserve"> </w:t>
      </w:r>
      <w:r>
        <w:t xml:space="preserve">criterion fails for ResNet1D-34. Across the three backbones the mechanical share</w:t>
      </w:r>
      <w:r>
        <w:t xml:space="preserve"> </w:t>
      </w:r>
      <w:r>
        <w:t xml:space="preserve">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pre-registered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gives the per-backbone deficits with their intervals and shows that the</w:t>
      </w:r>
      <w:r>
        <w:t xml:space="preserve"> </w:t>
      </w:r>
      <w:r>
        <w:t xml:space="preserve">direction of the contrast holds for every backbone while its statistical</w:t>
      </w:r>
      <w:r>
        <w:t xml:space="preserve"> </w:t>
      </w:r>
      <w:r>
        <w:t xml:space="preserve">strength does not; panel (b) plots each cell under the two checkpoints, and every</w:t>
      </w:r>
      <w:r>
        <w:t xml:space="preserve"> </w:t>
      </w:r>
      <w:r>
        <w:t xml:space="preserve">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and 95% bootstrap CI; open markers denote intervals that include zero). (b) B1 coverage minus nominal under best-validation (horizontal) and last-epoch (vertical) weights for the two residual networks, 16 backbone×dataset×\alpha cells; shaded quadrants mark agreement in sign and the dotted line marks equality." title="" id="50" name="Picture"/>
            <a:graphic>
              <a:graphicData uri="http://schemas.openxmlformats.org/drawingml/2006/picture">
                <pic:pic>
                  <pic:nvPicPr>
                    <pic:cNvPr descr="figures/fig8_robustness.png" id="51" name="Picture"/>
                    <pic:cNvPicPr>
                      <a:picLocks noChangeArrowheads="1" noChangeAspect="1"/>
                    </pic:cNvPicPr>
                  </pic:nvPicPr>
                  <pic:blipFill>
                    <a:blip r:embed="rId49"/>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w:t>
      </w:r>
      <w:r>
        <w:t xml:space="preserve">(point estimate and 95% bootstrap CI; open markers denote intervals that include zero).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2"/>
    <w:bookmarkEnd w:id="53"/>
    <w:bookmarkStart w:id="58" w:name="discussion"/>
    <w:p>
      <w:pPr>
        <w:pStyle w:val="Heading1"/>
      </w:pPr>
      <w:r>
        <w:t xml:space="preserve">6. Discussion</w:t>
      </w:r>
    </w:p>
    <w:bookmarkStart w:id="54"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public ECG resources the answer</w:t>
      </w:r>
      <w:r>
        <w:t xml:space="preserve"> </w:t>
      </w:r>
      <w:r>
        <w:t xml:space="preserve">is more restrictive than their size would suggest, because declared sources</w:t>
      </w:r>
      <w:r>
        <w:t xml:space="preserve"> </w:t>
      </w:r>
      <w:r>
        <w:t xml:space="preserve">collapse under the join and rare labels are spread over few patients (§5.1).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w:t>
      </w:r>
    </w:p>
    <w:bookmarkEnd w:id="54"/>
    <w:bookmarkStart w:id="55" w:name="X2082e78ae0f4c77c313456103384ade8026f359"/>
    <w:p>
      <w:pPr>
        <w:pStyle w:val="Heading2"/>
      </w:pPr>
      <w:r>
        <w:t xml:space="preserve">6.2 A pitfall in evaluating hierarchical conformal methods</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bookmarkEnd w:id="55"/>
    <w:bookmarkStart w:id="56"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Group-conditional calibration has been proposed to equalize coverage across</w:t>
      </w:r>
      <w:r>
        <w:t xml:space="preserve"> </w:t>
      </w:r>
      <w:r>
        <w:t xml:space="preserve">demographic groups [43]; once it must also respect patient blocks, a group</w:t>
      </w:r>
      <w:r>
        <w:t xml:space="preserve"> </w:t>
      </w:r>
      <w:r>
        <w:t xml:space="preserve">represented by few patients in calibration faces the same bound as a rare label.</w:t>
      </w:r>
      <w:r>
        <w:t xml:space="preserve"> </w:t>
      </w:r>
      <w:r>
        <w:t xml:space="preserve">Settings with thousands of blocks, such as patients nested in hospitals [36],</w:t>
      </w:r>
      <w:r>
        <w:t xml:space="preserve"> </w:t>
      </w:r>
      <w:r>
        <w:t xml:space="preserve">are far from this boundary, which explains why it is easily missed. The</w:t>
      </w:r>
      <w:r>
        <w:t xml:space="preserve"> </w:t>
      </w:r>
      <w:r>
        <w:t xml:space="preserve">inter-patient protocol protects against subject-level leakage between training</w:t>
      </w:r>
      <w:r>
        <w:t xml:space="preserve"> </w:t>
      </w:r>
      <w:r>
        <w:t xml:space="preserve">and evaluation [30], [32], [31], and training regimes that differ in this</w:t>
      </w:r>
      <w:r>
        <w:t xml:space="preserve"> </w:t>
      </w:r>
      <w:r>
        <w:t xml:space="preserve">respect have been compared directly [44]; the audit extends the same concern to</w:t>
      </w:r>
      <w:r>
        <w:t xml:space="preserve"> </w:t>
      </w:r>
      <w:r>
        <w:t xml:space="preserve">the boundary between calibration and test, where a split that is inter-patient</w:t>
      </w:r>
      <w:r>
        <w:t xml:space="preserve"> </w:t>
      </w:r>
      <w:r>
        <w:t xml:space="preserve">for training may still leave calibration with too few subjects.</w:t>
      </w:r>
    </w:p>
    <w:p>
      <w:pPr>
        <w:pStyle w:val="BodyText"/>
        <w:jc w:val="both"/>
      </w:pPr>
      <w:r>
        <w:t xml:space="preserve">Regarding the study-design trade-off left open by Lee et al. [13], our results</w:t>
      </w:r>
      <w:r>
        <w:t xml:space="preserve"> </w:t>
      </w:r>
      <w:r>
        <w:t xml:space="preserve">settle its most elementary part: whether a finite threshold exists depends only</w:t>
      </w:r>
      <w:r>
        <w:t xml:space="preserve"> </w:t>
      </w:r>
      <w:r>
        <w:t xml:space="preserve">on the number of groups (Proposition 1). The bound plays, with blocks in place of</w:t>
      </w:r>
      <w:r>
        <w:t xml:space="preserve"> </w:t>
      </w:r>
      <w:r>
        <w:t xml:space="preserve">points, the part that the universal coverage distribution of split conformal</w:t>
      </w:r>
      <w:r>
        <w:t xml:space="preserve"> </w:t>
      </w:r>
      <w:r>
        <w:t xml:space="preserve">prediction plays for exchangeable data, where it fixes a minimum calibration</w:t>
      </w:r>
      <w:r>
        <w:t xml:space="preserve"> </w:t>
      </w:r>
      <w:r>
        <w:t xml:space="preserve">size [45]. Similarly, rare classes are known to starve class-conditional</w:t>
      </w:r>
      <w:r>
        <w:t xml:space="preserve"> </w:t>
      </w:r>
      <w:r>
        <w:t xml:space="preserve">calibration under exchangeability [42], but under block dependence what must be</w:t>
      </w:r>
      <w:r>
        <w:t xml:space="preserve"> </w:t>
      </w:r>
      <w:r>
        <w:t xml:space="preserve">counted is the number of blocks carrying the class, and the condition is</w:t>
      </w:r>
      <w:r>
        <w:t xml:space="preserve"> </w:t>
      </w:r>
      <w:r>
        <w:t xml:space="preserve">necessary but not sufficient (§3.4).</w:t>
      </w:r>
    </w:p>
    <w:p>
      <w:pPr>
        <w:pStyle w:val="BodyText"/>
        <w:jc w:val="both"/>
      </w:pPr>
      <w:r>
        <w:t xml:space="preserve">These findings are in line with those of Sim and Kim on false-alarm control in</w:t>
      </w:r>
      <w:r>
        <w:t xml:space="preserve"> </w:t>
      </w:r>
      <w:r>
        <w:t xml:space="preserve">ECG [11]: in both settings subjects rather than beats carry the guarantee, and too</w:t>
      </w:r>
      <w:r>
        <w:t xml:space="preserve"> </w:t>
      </w:r>
      <w:r>
        <w:t xml:space="preserve">few calibration subjects undermine it. The two studies differ in what is counted</w:t>
      </w:r>
      <w:r>
        <w:t xml:space="preserve"> </w:t>
      </w:r>
      <w:r>
        <w:t xml:space="preserve">and in how the effect is attributed. The audit counts blocks under crossed</w:t>
      </w:r>
      <w:r>
        <w:t xml:space="preserve"> </w:t>
      </w:r>
      <w:r>
        <w:t xml:space="preserve">dependence sources and for each diagnostic label, and it uses a matched</w:t>
      </w:r>
      <w:r>
        <w:t xml:space="preserve"> </w:t>
      </w:r>
      <w:r>
        <w:t xml:space="preserve">permutation null and a factorial design to separate dependence from block-size</w:t>
      </w:r>
      <w:r>
        <w:t xml:space="preserve"> </w:t>
      </w:r>
      <w:r>
        <w:t xml:space="preserve">imbalance and from the mechanical effect of the finite-block correction. That</w:t>
      </w:r>
      <w:r>
        <w:t xml:space="preserve"> </w:t>
      </w:r>
      <w:r>
        <w:t xml:space="preserve">marginal coverage can mask per-class and per-patient failures in cardiac</w:t>
      </w:r>
      <w:r>
        <w:t xml:space="preserve"> </w:t>
      </w:r>
      <w:r>
        <w:t xml:space="preserve">monitoring [10] agrees with the label-level boundary of §5.1. Risk-control</w:t>
      </w:r>
      <w:r>
        <w:t xml:space="preserve"> </w:t>
      </w:r>
      <w:r>
        <w:t xml:space="preserve">extensions of conformal prediction [34], [46] and its time-series variants [35]</w:t>
      </w:r>
      <w:r>
        <w:t xml:space="preserve"> </w:t>
      </w:r>
      <w:r>
        <w:t xml:space="preserve">depend on related exchangeability or stationarity assumptions, and whether their</w:t>
      </w:r>
      <w:r>
        <w:t xml:space="preserve"> </w:t>
      </w:r>
      <w:r>
        <w:t xml:space="preserve">block-level versions meet the same boundary is left open.</w:t>
      </w:r>
    </w:p>
    <w:bookmarkEnd w:id="56"/>
    <w:bookmarkStart w:id="57"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every preprocessing step is</w:t>
      </w:r>
      <w:r>
        <w:t xml:space="preserve"> </w:t>
      </w:r>
      <w:r>
        <w:t xml:space="preserve">fitted on training data alone.</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pre-registered last-epoch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Every MIT-BIH interval is derived from</w:t>
      </w:r>
      <w:r>
        <w:t xml:space="preserve"> </w:t>
      </w:r>
      <w:r>
        <w:t xml:space="preserve">repeated splits of the same 22 DS2 records and thus captures variability across</w:t>
      </w:r>
      <w:r>
        <w:t xml:space="preserve"> </w:t>
      </w:r>
      <w:r>
        <w:t xml:space="preserve">splits, not across the patient population.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Neither a single split nor a single</w:t>
      </w:r>
      <w:r>
        <w:t xml:space="preserve"> </w:t>
      </w:r>
      <w:r>
        <w:t xml:space="preserve">dose–response point establishes a deficit: the split-to-split range covers</w:t>
      </w:r>
      <w:r>
        <w:t xml:space="preserve"> </w:t>
      </w:r>
      <m:oMath>
        <m:r>
          <m:t>1</m:t>
        </m:r>
        <m:r>
          <m:rPr>
            <m:sty m:val="p"/>
          </m:rPr>
          <m:t>−</m:t>
        </m:r>
        <m:r>
          <m:t>α</m:t>
        </m:r>
      </m:oMath>
      <w:r>
        <w:t xml:space="preserve"> </w:t>
      </w:r>
      <w:r>
        <w:t xml:space="preserve">in every MIT-BIH cell (Table V), and each per-point interval of the</w:t>
      </w:r>
      <w:r>
        <w:t xml:space="preserve"> </w:t>
      </w:r>
      <w:r>
        <w:t xml:space="preserve">dose–response analysis includes zero. The evidence comes instead from the</w:t>
      </w:r>
      <w:r>
        <w:t xml:space="preserve"> </w:t>
      </w:r>
      <w:r>
        <w:t xml:space="preserve">comparison with a permutation null and from the monotone trend, which are exactly</w:t>
      </w:r>
      <w:r>
        <w:t xml:space="preserve"> </w:t>
      </w:r>
      <w:r>
        <w:t xml:space="preserve">what the pre-registered tests examine. After Holm correction the deficit against</w:t>
      </w:r>
      <w:r>
        <w:t xml:space="preserve"> </w:t>
      </w:r>
      <w:r>
        <w:t xml:space="preserve">the permutation null is significant at every level for two of the three</w:t>
      </w:r>
      <w:r>
        <w:t xml:space="preserve"> </w:t>
      </w:r>
      <w:r>
        <w:t xml:space="preserve">backbones and at none for ResNet1D-34 (Table VI); for that backbone the</w:t>
      </w:r>
      <w:r>
        <w:t xml:space="preserve"> </w:t>
      </w:r>
      <w:r>
        <w:t xml:space="preserve">pre-registered criterion fails, and we claim only that the direction is</w:t>
      </w:r>
      <w:r>
        <w:t xml:space="preserve"> </w:t>
      </w:r>
      <w:r>
        <w:t xml:space="preserve">invariant. Coverage on its own flatters HCP, which covers by abstaining below</w:t>
      </w:r>
      <w:r>
        <w:t xml:space="preserve"> </w:t>
      </w:r>
      <m:oMath>
        <m:sSub>
          <m:e>
            <m:r>
              <m:t>α</m:t>
            </m:r>
          </m:e>
          <m:sub>
            <m:r>
              <m:rPr>
                <m:sty m:val="p"/>
              </m:rPr>
              <m:t>min</m:t>
            </m:r>
          </m:sub>
        </m:sSub>
      </m:oMath>
      <w:r>
        <w:t xml:space="preserve"> </w:t>
      </w:r>
      <w:r>
        <w:t xml:space="preserve">(§5.2), so set size is reported alongside coverage throughout. Two</w:t>
      </w:r>
      <w:r>
        <w:t xml:space="preserve"> </w:t>
      </w:r>
      <w:r>
        <w:t xml:space="preserve">pre-registered criteria did not survive.</w:t>
      </w:r>
      <w:r>
        <w:t xml:space="preserve"> </w:t>
      </w:r>
      <w:r>
        <w:t xml:space="preserve">“HCP covers better than split</w:t>
      </w:r>
      <w:r>
        <w:t xml:space="preserve"> </w:t>
      </w:r>
      <w:r>
        <w:t xml:space="preserve">conformal”</w:t>
      </w:r>
      <w:r>
        <w:t xml:space="preserve"> </w:t>
      </w:r>
      <w:r>
        <w:t xml:space="preserve">was withdrawn after the permutation control revealed the gap to be</w:t>
      </w:r>
      <w:r>
        <w:t xml:space="preserve"> </w:t>
      </w:r>
      <w:r>
        <w:t xml:space="preserve">largely mechanical (§5.3). A Spearman test across datasets could not be carried</w:t>
      </w:r>
      <w:r>
        <w:t xml:space="preserve"> </w:t>
      </w:r>
      <w:r>
        <w:t xml:space="preserve">out as specified, because with two datasets a rank correlation can only equal</w:t>
      </w:r>
      <w:r>
        <w:t xml:space="preserve"> </w:t>
      </w:r>
      <m:oMath>
        <m:r>
          <m:rPr>
            <m:sty m:val="p"/>
          </m:rPr>
          <m:t>±</m:t>
        </m:r>
        <m:r>
          <m:t>1</m:t>
        </m:r>
      </m:oMath>
      <w:r>
        <w:t xml:space="preserve">, and it was replaced by a test over design-effect points within MIT-BIH.</w:t>
      </w:r>
      <w:r>
        <w:t xml:space="preserve"> </w:t>
      </w:r>
      <w:r>
        <w:t xml:space="preserve">Both changes appear in the deviation log.</w:t>
      </w:r>
    </w:p>
    <w:p>
      <w:pPr>
        <w:pStyle w:val="BodyText"/>
        <w:jc w:val="both"/>
      </w:pPr>
      <w:r>
        <w:rPr>
          <w:b/>
          <w:bCs/>
        </w:rPr>
        <w:t xml:space="preserve">Theoretical scope.</w:t>
      </w:r>
      <w:r>
        <w:t xml:space="preserve"> </w:t>
      </w:r>
      <w:r>
        <w:t xml:space="preserve">The variance of §3.2 and the design effects (6)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significant (Table VII),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the HCP/Dunn family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(Appendix B). Three analyses were</w:t>
      </w:r>
      <w:r>
        <w:t xml:space="preserve"> </w:t>
      </w:r>
      <w:r>
        <w:t xml:space="preserve">introduced or modified after results had been seen, and every one of them made</w:t>
      </w:r>
      <w:r>
        <w:t xml:space="preserve"> </w:t>
      </w:r>
      <w:r>
        <w:t xml:space="preserve">the evidence stricter. The permutation control overturned a criterion that had</w:t>
      </w:r>
      <w:r>
        <w:t xml:space="preserve"> </w:t>
      </w:r>
      <w:r>
        <w:t xml:space="preserve">favored our hypothesis; the Holm correction, which the frozen analysis plan</w:t>
      </w:r>
      <w:r>
        <w:t xml:space="preserve"> </w:t>
      </w:r>
      <w:r>
        <w:t xml:space="preserve">required but which was not applied at first, removed the last significant level</w:t>
      </w:r>
      <w:r>
        <w:t xml:space="preserve"> </w:t>
      </w:r>
      <w:r>
        <w:t xml:space="preserve">for ResNet1D-34; and the reporting axis was chosen after ICC had failed to place</w:t>
      </w:r>
      <w:r>
        <w:t xml:space="preserve"> </w:t>
      </w:r>
      <w:r>
        <w:t xml:space="preserve">the two datasets on one scale.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w:t>
      </w:r>
      <w:r>
        <w:t xml:space="preserve"> </w:t>
      </w:r>
      <w:r>
        <w:t xml:space="preserve">theoretical notes before data collection, and</w:t>
      </w:r>
      <w:r>
        <w:t xml:space="preserve"> </w:t>
      </w:r>
      <m:oMath>
        <m:r>
          <m:t>H</m:t>
        </m:r>
      </m:oMath>
      <w:r>
        <w:t xml:space="preserve"> </w:t>
      </w:r>
      <w:r>
        <w:t xml:space="preserve">follows from the variance in</w:t>
      </w:r>
      <w:r>
        <w:t xml:space="preserve"> </w:t>
      </w:r>
      <w:r>
        <w:t xml:space="preserve">§3.2 instead of being selected, but the decision to report on this axis was taken</w:t>
      </w:r>
      <w:r>
        <w:t xml:space="preserve"> </w:t>
      </w:r>
      <w:r>
        <w:t xml:space="preserve">with the results in view. The protocol is accompanied by a complete deviation</w:t>
      </w:r>
      <w:r>
        <w:t xml:space="preserve"> </w:t>
      </w:r>
      <w:r>
        <w:t xml:space="preserve">log.</w:t>
      </w:r>
    </w:p>
    <w:bookmarkEnd w:id="57"/>
    <w:bookmarkEnd w:id="58"/>
    <w:bookmarkStart w:id="59"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is governed by</w:t>
      </w:r>
      <w:r>
        <w:t xml:space="preserve"> </w:t>
      </w:r>
      <w:r>
        <w:t xml:space="preserve">the amount of repetition inside blocks, not by the strength of correlation.</w:t>
      </w:r>
      <w:r>
        <w:t xml:space="preserve"> </w:t>
      </w:r>
      <w:r>
        <w:t xml:space="preserve">Evaluations of hierarchical conformal methods should therefore use a null that</w:t>
      </w:r>
      <w:r>
        <w:t xml:space="preserve"> </w:t>
      </w:r>
      <w:r>
        <w:t xml:space="preserve">removes dependence but keeps block geometry, and should report set size next to</w:t>
      </w:r>
      <w:r>
        <w:t xml:space="preserve"> </w:t>
      </w:r>
      <w:r>
        <w:t xml:space="preserve">coverage; clinical studies that claim conformal guarantees should report the</w:t>
      </w:r>
      <w:r>
        <w:t xml:space="preserve"> </w:t>
      </w:r>
      <w:r>
        <w:t xml:space="preserve">dependence sources they declared and the number of calibration blocks, per label</w:t>
      </w:r>
      <w:r>
        <w:t xml:space="preserve"> </w:t>
      </w:r>
      <w:r>
        <w:t xml:space="preserve">where relevant. These conclusions are limited to one method family and to the</w:t>
      </w:r>
      <w:r>
        <w:t xml:space="preserve"> </w:t>
      </w:r>
      <w:r>
        <w:t xml:space="preserve">sources declared here, and whether other block-level procedures face the same</w:t>
      </w:r>
      <w:r>
        <w:t xml:space="preserve"> </w:t>
      </w:r>
      <w:r>
        <w:t xml:space="preserve">boundary is an open question.</w:t>
      </w:r>
    </w:p>
    <w:bookmarkEnd w:id="59"/>
    <w:bookmarkStart w:id="63" w:name="appendix-a.-supplementary-derivations"/>
    <w:p>
      <w:pPr>
        <w:pStyle w:val="Heading1"/>
      </w:pPr>
      <w:r>
        <w:t xml:space="preserve">Appendix A. Supplementary Derivations</w:t>
      </w:r>
    </w:p>
    <w:bookmarkStart w:id="60"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0"/>
    <w:bookmarkStart w:id="61"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1"/>
    <w:bookmarkStart w:id="62" w:name="X7762396f0ee7e442bd161c48a219bce8dfbbc32"/>
    <w:p>
      <w:pPr>
        <w:pStyle w:val="Heading2"/>
      </w:pPr>
      <w:r>
        <w:t xml:space="preserve">A.3 Departing from equal weights can break the guarantee</w:t>
      </w:r>
    </w:p>
    <w:p>
      <w:pPr>
        <w:pStyle w:val="FirstParagraph"/>
        <w:jc w:val="both"/>
      </w:pPr>
      <w:r>
        <w:t xml:space="preserve">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2"/>
    <w:bookmarkEnd w:id="63"/>
    <w:bookmarkStart w:id="64"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IX records each interim conclusion alongside</w:t>
      </w:r>
      <w:r>
        <w:t xml:space="preserve"> </w:t>
      </w:r>
      <w:r>
        <w:t xml:space="preserve">the control that 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bookmarkEnd w:id="64"/>
    <w:bookmarkStart w:id="6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2026-10-02T17:13:40Z</dcterms:created>
  <dcterms:modified xsi:type="dcterms:W3CDTF">2026-10-02T17:13:40Z</dcterms:modified>
</cp:coreProperties>
</file>

<file path=docProps/custom.xml><?xml version="1.0" encoding="utf-8"?>
<Properties xmlns="http://schemas.openxmlformats.org/officeDocument/2006/custom-properties" xmlns:vt="http://schemas.openxmlformats.org/officeDocument/2006/docPropsVTypes"/>
</file>