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17f8901.</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[6]–[7] and, for cardiac signals, to calibrate</w:t>
      </w:r>
      <w:r>
        <w:t xml:space="preserve"> </w:t>
      </w:r>
      <w:r>
        <w:t xml:space="preserve">quantized models [8], adapt inference on wearables [9], expose class- and</w:t>
      </w:r>
      <w:r>
        <w:t xml:space="preserve"> </w:t>
      </w:r>
      <w:r>
        <w:t xml:space="preserve">patient-level failures [10] and bound false alarms in monitoring [11]. All of</w:t>
      </w:r>
      <w:r>
        <w:t xml:space="preserve"> </w:t>
      </w:r>
      <w:r>
        <w:t xml:space="preserve">these uses assume that calibration and test observations are exchangeable;</w:t>
      </w:r>
      <w:r>
        <w:t xml:space="preserve"> </w:t>
      </w:r>
      <w:r>
        <w:t xml:space="preserve">without that assumption only a generic bound on the coverage gap survives [12].</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[13]; Dunn et al. developed related two-layer constructions [14].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[13], and Sim</w:t>
      </w:r>
      <w:r>
        <w:t xml:space="preserve"> </w:t>
      </w:r>
      <w:r>
        <w:t xml:space="preserve">and Kim showed for ECG monitoring that the false-alarm guarantee of split</w:t>
      </w:r>
      <w:r>
        <w:t xml:space="preserve"> </w:t>
      </w:r>
      <w:r>
        <w:t xml:space="preserve">conformal prediction scales with subjects, not beats [11].</w:t>
      </w:r>
    </w:p>
    <w:p>
      <w:pPr>
        <w:pStyle w:val="BodyText"/>
        <w:jc w:val="both"/>
      </w:pPr>
      <w:r>
        <w:t xml:space="preserve">Whether the guarantee is attainable under the dependence structure of real</w:t>
      </w:r>
      <w:r>
        <w:t xml:space="preserve"> </w:t>
      </w:r>
      <w:r>
        <w:t xml:space="preserve">clinical resources, where sources can be crossed and coverage may be required per</w:t>
      </w:r>
      <w:r>
        <w:t xml:space="preserve"> </w:t>
      </w:r>
      <w:r>
        <w:t xml:space="preserve">diagnosis, remains insufficiently characterized. We address this design-stage</w:t>
      </w:r>
      <w:r>
        <w:t xml:space="preserve"> </w:t>
      </w:r>
      <w:r>
        <w:t xml:space="preserve">question by auditing three public ECG resources: PTB-XL [2], [15], in which</w:t>
      </w:r>
      <w:r>
        <w:t xml:space="preserve"> </w:t>
      </w:r>
      <w:r>
        <w:t xml:space="preserve">18,869 patients contribute 1.16 records on average; the MIT-BIH Arrhythmia</w:t>
      </w:r>
      <w:r>
        <w:t xml:space="preserve"> </w:t>
      </w:r>
      <w:r>
        <w:t xml:space="preserve">Database [16], in which each of 44 subjects contributes more than 1,500 beats;</w:t>
      </w:r>
      <w:r>
        <w:t xml:space="preserve"> </w:t>
      </w:r>
      <w:r>
        <w:t xml:space="preserve">and the PhysioNet/CinC Challenge 2021 collection [17], which does not document a</w:t>
      </w:r>
      <w:r>
        <w:t xml:space="preserve"> </w:t>
      </w:r>
      <w:r>
        <w:t xml:space="preserve">block identifier. Two questions guide the audit. Can a block-level guarantee be</w:t>
      </w:r>
      <w:r>
        <w:t xml:space="preserve"> </w:t>
      </w:r>
      <w:r>
        <w:t xml:space="preserve">enforced at conventional error rates (RQ1)? Does ignoring block structure cost</w:t>
      </w:r>
      <w:r>
        <w:t xml:space="preserve"> </w:t>
      </w:r>
      <w:r>
        <w:t xml:space="preserve">coverage, and through what mechanism (RQ2)? Fig. 1 shows the two stages that</w:t>
      </w:r>
      <w:r>
        <w:t xml:space="preserve"> </w:t>
      </w:r>
      <w:r>
        <w:t xml:space="preserve">answer them, RQ1 from metadata alone and RQ2 from the conformity scores of three</w:t>
      </w:r>
      <w:r>
        <w:t xml:space="preserve"> </w:t>
      </w:r>
      <w:r>
        <w:t xml:space="preserve">backbones, with the section that reports each step.</w:t>
      </w:r>
    </w:p>
    <w:p>
      <w:pPr>
        <w:pStyle w:val="CaptionedFigure"/>
        <w:jc w:val="both"/>
      </w:pPr>
      <w:r>
        <w:drawing>
          <wp:inline>
            <wp:extent cx="5303520" cy="3723951"/>
            <wp:effectExtent b="0" l="0" r="0" t="0"/>
            <wp:docPr descr="Fig. 1. Audit workflow. Stage 1 (blue header) uses metadata only and returns verdicts that are exact given the declared dependence sources D, before any model is trained (RQ1; §3, §5.1). Stage 2 (orange headers) uses conformity scores from three backbones, at feasible levels only, to compare naive split conformal (B1) with HCP (B12), attribute the B1 deficit to dependence, relate it to the design effect, separate split-level from subject-level uncertainty and check robustness (RQ2; §5.2–§5.5)."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303520" cy="3723951"/>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returns verdicts that are exact given the declared dependence sources</w:t>
      </w:r>
      <w:r>
        <w:t xml:space="preserve"> </w:t>
      </w:r>
      <m:oMath>
        <m:r>
          <m:t>D</m:t>
        </m:r>
      </m:oMath>
      <w:r>
        <w:t xml:space="preserve">, before any model is trained (RQ1; §3, §5.1). Stage 2 (orange headers) uses conformity scores from three backbones, at feasible levels only, to compare naive split conformal (B1) with HCP (B12), attribute the B1 deficit to dependence, relate it to the design effect, separate split-level from subject-level uncertainty and check robustness (RQ2; §5.2–§5.5).</w:t>
      </w:r>
    </w:p>
    <w:p>
      <w:pPr>
        <w:pStyle w:val="BodyText"/>
      </w:pPr>
      <w:r>
        <w:t xml:space="preserve">We propose no new conformal procedure. The contributions are three.</w:t>
      </w:r>
    </w:p>
    <w:p>
      <w:pPr>
        <w:pStyle w:val="Compact"/>
        <w:numPr>
          <w:ilvl w:val="0"/>
          <w:numId w:val="1001"/>
        </w:numPr>
      </w:pPr>
      <w:r>
        <w:t xml:space="preserve">A metadata-only feasibility audit (RQ1; §3, §5.1). The HCP bound,</w:t>
      </w:r>
      <w:r>
        <w:t xml:space="preserve"> </w:t>
      </w:r>
      <w:r>
        <w:t xml:space="preserve">combined with the join of the declared dependence sources, gives exact verdicts</w:t>
      </w:r>
      <w:r>
        <w:t xml:space="preserve"> </w:t>
      </w:r>
      <w:r>
        <w:t xml:space="preserve">before any model is trained: all four documented PTB-XL sources together leave</w:t>
      </w:r>
      <w:r>
        <w:t xml:space="preserve"> </w:t>
      </w:r>
      <w:r>
        <w:t xml:space="preserve">one admissible calibration block, 24 of 44 SCP statements have no finite</w:t>
      </w:r>
      <w:r>
        <w:t xml:space="preserve"> </w:t>
      </w:r>
      <w:r>
        <w:t xml:space="preserve">per-label threshold at</w:t>
      </w:r>
      <w:r>
        <w:t xml:space="preserve"> </w:t>
      </w:r>
      <m:oMath>
        <m:r>
          <m:t>α</m:t>
        </m:r>
        <m:r>
          <m:rPr>
            <m:sty m:val="p"/>
          </m:rPr>
          <m:t>=</m:t>
        </m:r>
        <m:r>
          <m:t>0.05</m:t>
        </m:r>
      </m:oMath>
      <w:r>
        <w:t xml:space="preserve"> </w:t>
      </w:r>
      <w:r>
        <w:t xml:space="preserve">under patient blocking, and an even split</w:t>
      </w:r>
      <w:r>
        <w:t xml:space="preserve"> </w:t>
      </w:r>
      <w:r>
        <w:t xml:space="preserve">of the 22 MIT-BIH evaluation subjects rules out a subject-level guarantee at</w:t>
      </w:r>
      <w:r>
        <w:t xml:space="preserve"> </w:t>
      </w:r>
      <w:r>
        <w:t xml:space="preserve">the 95% level.</w:t>
      </w:r>
    </w:p>
    <w:p>
      <w:pPr>
        <w:pStyle w:val="Compact"/>
        <w:numPr>
          <w:ilvl w:val="0"/>
          <w:numId w:val="1001"/>
        </w:numPr>
      </w:pPr>
      <w:r>
        <w:t xml:space="preserve">Attribution of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a</w:t>
      </w:r>
      <w:r>
        <w:t xml:space="preserve"> </w:t>
      </w:r>
      <w:r>
        <w:t xml:space="preserve">factorial design attributes the shortfall mainly to clustering, amplified by</w:t>
      </w:r>
      <w:r>
        <w:t xml:space="preserve"> </w:t>
      </w:r>
      <w:r>
        <w:t xml:space="preserve">block-size imbalance, and a dose–response experiment shows it growing with the</w:t>
      </w:r>
      <w:r>
        <w:t xml:space="preserve"> </w:t>
      </w:r>
      <w:r>
        <w:t xml:space="preserve">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w:t>
      </w:r>
      <w:r>
        <w:t xml:space="preserve"> </w:t>
      </w:r>
      <w:r>
        <w:t xml:space="preserve">on the guarantee.</w:t>
      </w:r>
    </w:p>
    <w:p>
      <w:pPr>
        <w:pStyle w:val="Compact"/>
        <w:numPr>
          <w:ilvl w:val="0"/>
          <w:numId w:val="1001"/>
        </w:numPr>
      </w:pPr>
      <w:r>
        <w:t xml:space="preserve">Two cautions for evaluating conformal methods on clustered data (§5.3,</w:t>
      </w:r>
      <w:r>
        <w:t xml:space="preserve"> </w:t>
      </w:r>
      <w:r>
        <w:t xml:space="preserve">§6.2). Between 75% and 110% of the apparent gain of HCP over naive split</w:t>
      </w:r>
      <w:r>
        <w:t xml:space="preserve"> </w:t>
      </w:r>
      <w:r>
        <w:t xml:space="preserve">conformal survives when dependence is permuted away, so the gain is largely</w:t>
      </w:r>
      <w:r>
        <w:t xml:space="preserve"> </w:t>
      </w:r>
      <w:r>
        <w:t xml:space="preserve">mechanical; and repeated splits of a fixed set of subjects give intervals for</w:t>
      </w:r>
      <w:r>
        <w:t xml:space="preserve"> </w:t>
      </w:r>
      <w:r>
        <w:t xml:space="preserve">the split procedure, not the population, which on MIT-BIH exclude zero where a</w:t>
      </w:r>
      <w:r>
        <w:t xml:space="preserve"> </w:t>
      </w:r>
      <w:r>
        <w:t xml:space="preserve">jackknife over subjects does not.</w:t>
      </w:r>
    </w:p>
    <w:p>
      <w:pPr>
        <w:pStyle w:val="FirstParagraph"/>
        <w:jc w:val="both"/>
      </w:pPr>
      <w:r>
        <w:t xml:space="preserve">Every finding is checked across three backbones whose sizes differ more than a</w:t>
      </w:r>
      <w:r>
        <w:t xml:space="preserve"> </w:t>
      </w:r>
      <w:r>
        <w:t xml:space="preserve">hundredfold and across two checkpoints; resampling is always over blocks, and the</w:t>
      </w:r>
      <w:r>
        <w:t xml:space="preserve"> </w:t>
      </w:r>
      <w:r>
        <w:t xml:space="preserve">held-out PTB-XL fold remains unexamined.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6"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[12];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[18], spatial data [19] and network dependence [20]. Bhattacharyya and Barber consider</w:t>
      </w:r>
      <w:r>
        <w:t xml:space="preserve"> </w:t>
      </w:r>
      <w:r>
        <w:t xml:space="preserve">groups whose membership drives the shift [21], so exchangeability still holds</w:t>
      </w:r>
      <w:r>
        <w:t xml:space="preserve"> </w:t>
      </w:r>
      <w:r>
        <w:t xml:space="preserve">within each group; our setting is the reverse, with stable group proportions but</w:t>
      </w:r>
      <w:r>
        <w:t xml:space="preserve"> </w:t>
      </w:r>
      <w:r>
        <w:t xml:space="preserve">non-exchangeable observations within a block. Fontana et al. review the framework</w:t>
      </w:r>
      <w:r>
        <w:t xml:space="preserve"> </w:t>
      </w:r>
      <w:r>
        <w:t xml:space="preserve">and its variants, Mondrian conformal prediction included [5], and calibrated</w:t>
      </w:r>
      <w:r>
        <w:t xml:space="preserve"> </w:t>
      </w:r>
      <w:r>
        <w:t xml:space="preserve">Mondrian versions have followed [22].</w:t>
      </w:r>
    </w:p>
    <w:p>
      <w:pPr>
        <w:pStyle w:val="BodyText"/>
        <w:jc w:val="both"/>
      </w:pPr>
      <w:r>
        <w:t xml:space="preserve">For repeated measurements, Lee et al. formalized hierarchical exchangeability and</w:t>
      </w:r>
      <w:r>
        <w:t xml:space="preserve"> </w:t>
      </w:r>
      <w:r>
        <w:t xml:space="preserve">extended conformal prediction and the jackknife+ [23] to it [13]; (1) and (2)</w:t>
      </w:r>
      <w:r>
        <w:t xml:space="preserve"> </w:t>
      </w:r>
      <w:r>
        <w:t xml:space="preserve">restate their threshold and guarantee, and four two-layer hierarchical</w:t>
      </w:r>
      <w:r>
        <w:t xml:space="preserve"> </w:t>
      </w:r>
      <w:r>
        <w:t xml:space="preserve">constructions were developed independently by Dunn et al. [14]. We take these results as</w:t>
      </w:r>
      <w:r>
        <w:t xml:space="preserve"> </w:t>
      </w:r>
      <w:r>
        <w:t xml:space="preserve">given. Both lines of work are theoretical and evaluated on regression, [13] on</w:t>
      </w:r>
      <w:r>
        <w:t xml:space="preserve"> </w:t>
      </w:r>
      <w:r>
        <w:t xml:space="preserve">simulated data and a Lorenz-96 system, and neither addresses the question an</w:t>
      </w:r>
      <w:r>
        <w:t xml:space="preserve"> </w:t>
      </w:r>
      <w:r>
        <w:t xml:space="preserve">applied study meets first: for a given clinical dataset and error rate, which</w:t>
      </w:r>
      <w:r>
        <w:t xml:space="preserve"> </w:t>
      </w:r>
      <w:r>
        <w:t xml:space="preserve">grouping, if any, lets the guarantee be enforced? Lee et al. approach it when</w:t>
      </w:r>
      <w:r>
        <w:t xml:space="preserve"> </w:t>
      </w:r>
      <w:r>
        <w:t xml:space="preserve">they note that an analyst may trade many small groups against few large ones,</w:t>
      </w:r>
      <w:r>
        <w:t xml:space="preserve"> </w:t>
      </w:r>
      <w:r>
        <w:t xml:space="preserve">adding that</w:t>
      </w:r>
      <w:r>
        <w:t xml:space="preserve"> </w:t>
      </w:r>
      <w:r>
        <w:rPr>
          <w:i/>
          <w:iCs/>
        </w:rPr>
        <w:t xml:space="preserve">characterizing the pros and cons of this tradeoff is an important</w:t>
      </w:r>
      <w:r>
        <w:rPr>
          <w:i/>
          <w:iCs/>
        </w:rPr>
        <w:t xml:space="preserve"> </w:t>
      </w:r>
      <w:r>
        <w:rPr>
          <w:i/>
          <w:iCs/>
        </w:rPr>
        <w:t xml:space="preserve">question to determine how study design affects inference in this</w:t>
      </w:r>
      <w:r>
        <w:rPr>
          <w:i/>
          <w:iCs/>
        </w:rPr>
        <w:t xml:space="preserve"> </w:t>
      </w:r>
      <w:r>
        <w:rPr>
          <w:i/>
          <w:iCs/>
        </w:rPr>
        <w:t xml:space="preserve">distribution-free setting</w:t>
      </w:r>
      <w:r>
        <w:t xml:space="preserve"> </w:t>
      </w:r>
      <w:r>
        <w:t xml:space="preserve">[13]. We take up its most elementary part, whether a</w:t>
      </w:r>
      <w:r>
        <w:t xml:space="preserve"> </w:t>
      </w:r>
      <w:r>
        <w:t xml:space="preserve">design admits a finite threshold at all, and then measure what happens on</w:t>
      </w:r>
      <w:r>
        <w:t xml:space="preserve"> </w:t>
      </w:r>
      <w:r>
        <w:t xml:space="preserve">clinical data when it does.</w:t>
      </w:r>
    </w:p>
    <w:bookmarkEnd w:id="14"/>
    <w:bookmarkStart w:id="15"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[24], model dependence</w:t>
      </w:r>
      <w:r>
        <w:t xml:space="preserve"> </w:t>
      </w:r>
      <w:r>
        <w:t xml:space="preserve">among labels but assume exchangeable samples, the converse of our need. Pruning</w:t>
      </w:r>
      <w:r>
        <w:t xml:space="preserve"> </w:t>
      </w:r>
      <w:r>
        <w:t xml:space="preserve">makes Label Powerset conformal prediction cheaper [25], and hierarchical</w:t>
      </w:r>
      <w:r>
        <w:t xml:space="preserve"> </w:t>
      </w:r>
      <w:r>
        <w:t xml:space="preserve">multi-label classification without conformal guarantees is well developed [26],</w:t>
      </w:r>
      <w:r>
        <w:t xml:space="preserve"> </w:t>
      </w:r>
      <w:r>
        <w:t xml:space="preserve">[27]. Baheri and Shahbazi calibrate at several</w:t>
      </w:r>
      <w:r>
        <w:t xml:space="preserve"> </w:t>
      </w:r>
      <w:r>
        <w:t xml:space="preserve">levels of a label hierarchy and intersect the sets [28], and Zhang et al. encode</w:t>
      </w:r>
      <w:r>
        <w:t xml:space="preserve"> </w:t>
      </w:r>
      <w:r>
        <w:t xml:space="preserve">prediction sets as nodes of a label graph [29]. Both exploit structure</w:t>
      </w:r>
      <w:r>
        <w:t xml:space="preserve"> </w:t>
      </w:r>
      <w:r>
        <w:t xml:space="preserve">among labels; here the hierarchy only serves to count calibration blocks per</w:t>
      </w:r>
      <w:r>
        <w:t xml:space="preserve"> </w:t>
      </w:r>
      <w:r>
        <w:t xml:space="preserve">label (§3.4).</w:t>
      </w:r>
    </w:p>
    <w:p>
      <w:pPr>
        <w:pStyle w:val="BodyText"/>
        <w:jc w:val="both"/>
      </w:pPr>
      <w:r>
        <w:t xml:space="preserve">Strodthoff et al. set the PTB-XL benchmarks [1] for the dataset of [2], [15],</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[30], [31], since mixing them inflates reported</w:t>
      </w:r>
      <w:r>
        <w:t xml:space="preserve"> </w:t>
      </w:r>
      <w:r>
        <w:t xml:space="preserve">performance [32]. For clinical medicine, a survey of conformal prediction is</w:t>
      </w:r>
      <w:r>
        <w:t xml:space="preserve"> </w:t>
      </w:r>
      <w:r>
        <w:t xml:space="preserve">available [6], alongside applications to anatomical landmarks [33] and</w:t>
      </w:r>
      <w:r>
        <w:t xml:space="preserve"> </w:t>
      </w:r>
      <w:r>
        <w:t xml:space="preserve">multi-label diagnosis coding [7]; conformal risk control [34] and time-series</w:t>
      </w:r>
      <w:r>
        <w:t xml:space="preserve"> </w:t>
      </w:r>
      <w:r>
        <w:t xml:space="preserve">conformal prediction [35] extend the framework to arbitrary losses and temporal</w:t>
      </w:r>
      <w:r>
        <w:t xml:space="preserve"> </w:t>
      </w:r>
      <w:r>
        <w:t xml:space="preserve">data.</w:t>
      </w:r>
    </w:p>
    <w:p>
      <w:pPr>
        <w:pStyle w:val="BodyText"/>
        <w:jc w:val="both"/>
      </w:pPr>
      <w:r>
        <w:t xml:space="preserve">Several cardiac studies come closer to our question. On 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[8];</w:t>
      </w:r>
      <w:r>
        <w:t xml:space="preserve"> </w:t>
      </w:r>
      <w:r>
        <w:t xml:space="preserve">they also bring conformal inference to wearables at the edge [9]. For PPG-based arrhythmia classification in intensive care, Kinalioğlu finds</w:t>
      </w:r>
      <w:r>
        <w:t xml:space="preserve"> </w:t>
      </w:r>
      <w:r>
        <w:t xml:space="preserve">that marginal coverage can hide class- and patient-level failures [10]. Closest to</w:t>
      </w:r>
      <w:r>
        <w:t xml:space="preserve"> </w:t>
      </w:r>
      <w:r>
        <w:t xml:space="preserve">our work, Sim and Kim show that the false-alarm guarantee of split conformal</w:t>
      </w:r>
      <w:r>
        <w:t xml:space="preserve"> </w:t>
      </w:r>
      <w:r>
        <w:t xml:space="preserve">prediction in ECG monitoring is governed by the number of exchangeable subjects,</w:t>
      </w:r>
      <w:r>
        <w:t xml:space="preserve"> </w:t>
      </w:r>
      <w:r>
        <w:t xml:space="preserve">not beats, so that too few calibration subjects raise the realized false-alarm</w:t>
      </w:r>
      <w:r>
        <w:t xml:space="preserve"> </w:t>
      </w:r>
      <w:r>
        <w:t xml:space="preserve">rate [11]. Beyond cardiology, calibration that respects groups has been used for</w:t>
      </w:r>
      <w:r>
        <w:t xml:space="preserve"> </w:t>
      </w:r>
      <w:r>
        <w:t xml:space="preserve">patients nested in thousands of hospitals [36].</w:t>
      </w:r>
    </w:p>
    <w:p>
      <w:pPr>
        <w:pStyle w:val="BodyText"/>
        <w:jc w:val="both"/>
      </w:pPr>
      <w:r>
        <w:rPr>
          <w:b/>
          <w:bCs/>
        </w:rPr>
        <w:t xml:space="preserve">Position of this study.</w:t>
      </w:r>
      <w:r>
        <w:t xml:space="preserve"> </w:t>
      </w:r>
      <w:r>
        <w:t xml:space="preserve">These studies ask whether a procedure reaches its</w:t>
      </w:r>
      <w:r>
        <w:t xml:space="preserve"> </w:t>
      </w:r>
      <w:r>
        <w:t xml:space="preserve">target on a given split. We ask two prior questions, whether a block-level</w:t>
      </w:r>
      <w:r>
        <w:t xml:space="preserve"> </w:t>
      </w:r>
      <w:r>
        <w:t xml:space="preserve">guarantee is feasible once every declared dependence source is respected, and</w:t>
      </w:r>
      <w:r>
        <w:t xml:space="preserve"> </w:t>
      </w:r>
      <w:r>
        <w:t xml:space="preserve">whether ignoring block structure costs coverage once the mechanical effect of the</w:t>
      </w:r>
      <w:r>
        <w:t xml:space="preserve"> </w:t>
      </w:r>
      <w:r>
        <w:t xml:space="preserve">finite-block correction is removed.</w:t>
      </w:r>
    </w:p>
    <w:bookmarkEnd w:id="15"/>
    <w:bookmarkEnd w:id="16"/>
    <w:bookmarkStart w:id="24" w:name="problem-formulation-and-hcp-feasibility"/>
    <w:p>
      <w:pPr>
        <w:pStyle w:val="Heading1"/>
      </w:pPr>
      <w:r>
        <w:t xml:space="preserve">3. Problem Formulation and HCP Feasibility</w:t>
      </w:r>
    </w:p>
    <w:p>
      <w:pPr>
        <w:pStyle w:val="FirstParagraph"/>
        <w:jc w:val="both"/>
      </w:pPr>
      <w:r>
        <w:t xml:space="preserve">Section 3.1 restates the notation of Lee et al. [13]; §3.2–§3.4 derive three</w:t>
      </w:r>
      <w:r>
        <w:t xml:space="preserve"> </w:t>
      </w:r>
      <w:r>
        <w:t xml:space="preserve">feasibility diagnostics from established results, each cited where it is used.</w:t>
      </w:r>
    </w:p>
    <w:bookmarkStart w:id="17"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[13]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For a test point from a new block, Lee et al.</w:t>
      </w:r>
      <w:r>
        <w:t xml:space="preserve"> </w:t>
      </w:r>
      <w:r>
        <w:t xml:space="preserve">[13, Th. 1] 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7"/>
    <w:bookmarkStart w:id="18"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recasts a consequence of the</w:t>
      </w:r>
      <w:r>
        <w:t xml:space="preserve"> </w:t>
      </w:r>
      <m:oMath>
        <m:r>
          <m:rPr>
            <m:sty m:val="p"/>
          </m:rPr>
          <m:t>+</m:t>
        </m:r>
        <m:r>
          <m:rPr>
            <m:sty m:val="p"/>
          </m:rPr>
          <m:t>∞</m:t>
        </m:r>
      </m:oMath>
      <w:r>
        <w:t xml:space="preserve"> </w:t>
      </w:r>
      <w:r>
        <w:t xml:space="preserve">atom in Theorem 1</w:t>
      </w:r>
      <w:r>
        <w:t xml:space="preserve"> </w:t>
      </w:r>
      <w:r>
        <w:t xml:space="preserve">of [13] in a form checkable from metadata, and we claim nothing more. Three</w:t>
      </w:r>
      <w:r>
        <w:t xml:space="preserve"> </w:t>
      </w:r>
      <w:r>
        <w:t xml:space="preserve">properties matter.</w:t>
      </w:r>
      <w:r>
        <w:t xml:space="preserve"> </w:t>
      </w:r>
      <m:oMath>
        <m:sSub>
          <m:e>
            <m:r>
              <m:t>N</m:t>
            </m:r>
          </m:e>
          <m:sub>
            <m:r>
              <m:t>k</m:t>
            </m:r>
          </m:sub>
        </m:sSub>
      </m:oMath>
      <w:r>
        <w:t xml:space="preserve"> </w:t>
      </w:r>
      <w:r>
        <w:t xml:space="preserve">is absent from the bound, so adding measurements to</w:t>
      </w:r>
      <w:r>
        <w:t xml:space="preserve"> </w:t>
      </w:r>
      <w:r>
        <w:t xml:space="preserve">existing blocks never restores feasibility; the inequality is not strict, so a</w:t>
      </w:r>
      <w:r>
        <w:t xml:space="preserve"> </w:t>
      </w:r>
      <w:r>
        <w:t xml:space="preserve">grouping exactly on the boundary is feasible (Appendix A.1); 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is the textbook</w:t>
      </w:r>
      <w:r>
        <w:t xml:space="preserve"> </w:t>
      </w:r>
      <w:r>
        <w:t xml:space="preserve">expression for an unweighted mean of cluster means [37],</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Cluster-randomized</w:t>
      </w:r>
      <w:r>
        <w:t xml:space="preserve"> </w:t>
      </w:r>
      <w:r>
        <w:t xml:space="preserve">trials usually replace equal weighting of cluster means with minimum-variance</w:t>
      </w:r>
      <w:r>
        <w:t xml:space="preserve"> </w:t>
      </w:r>
      <w:r>
        <w:t xml:space="preserve">weights [38], [39]; 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primary analysis estimates</w:t>
      </w:r>
      <w:r>
        <w:t xml:space="preserve"> </w:t>
      </w:r>
      <m:oMath>
        <m:r>
          <m:t>ρ</m:t>
        </m:r>
      </m:oMath>
      <w:r>
        <w:t xml:space="preserve"> </w:t>
      </w:r>
      <w:r>
        <w:t xml:space="preserve">from conformity scores and is</w:t>
      </w:r>
      <w:r>
        <w:t xml:space="preserve"> </w:t>
      </w:r>
      <w:r>
        <w:t xml:space="preserve">repeated with the indicator correlation</w:t>
      </w:r>
      <w:r>
        <w:t xml:space="preserve"> </w:t>
      </w:r>
      <m:oMath>
        <m:r>
          <m:t>ρ</m:t>
        </m:r>
        <m:r>
          <m:rPr>
            <m:sty m:val="p"/>
          </m:rPr>
          <m:t>(</m:t>
        </m:r>
        <m:r>
          <m:t>t</m:t>
        </m:r>
        <m:r>
          <m:rPr>
            <m:sty m:val="p"/>
          </m:rPr>
          <m:t>)</m:t>
        </m:r>
      </m:oMath>
      <w:r>
        <w:t xml:space="preserve"> </w:t>
      </w:r>
      <w:r>
        <w:t xml:space="preserve">(§5.4). The axis is a heuristic</w:t>
      </w:r>
      <w:r>
        <w:t xml:space="preserve"> </w:t>
      </w:r>
      <w:r>
        <w:t xml:space="preserve">under (A) for ranking configurations, not a calibrated effective sample size; for</w:t>
      </w:r>
      <w:r>
        <w:t xml:space="preserve"> </w:t>
      </w:r>
      <w:r>
        <w:t xml:space="preserve">the latter we defer to Noonan, who derives a closed form for thresholds under</w:t>
      </w:r>
      <w:r>
        <w:t xml:space="preserve"> </w:t>
      </w:r>
      <w:r>
        <w:t xml:space="preserve">clustering and shows that the correction now used in the conformal literature</w:t>
      </w:r>
      <w:r>
        <w:t xml:space="preserve"> </w:t>
      </w:r>
      <w:r>
        <w:t xml:space="preserve">targets the wrong quantity [40].</w:t>
      </w:r>
    </w:p>
    <w:bookmarkEnd w:id="18"/>
    <w:bookmarkStart w:id="22"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its implication for calibration</w:t>
      </w:r>
      <w:r>
        <w:t xml:space="preserve"> </w:t>
      </w:r>
      <w:r>
        <w:t xml:space="preserve">is what matters here.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 title="" id="20" name="Picture"/>
            <a:graphic>
              <a:graphicData uri="http://schemas.openxmlformats.org/drawingml/2006/picture">
                <pic:pic>
                  <pic:nvPicPr>
                    <pic:cNvPr descr="figures/fig2_join_schematic.png" id="21" name="Picture"/>
                    <pic:cNvPicPr>
                      <a:picLocks noChangeArrowheads="1" noChangeAspect="1"/>
                    </pic:cNvPicPr>
                  </pic:nvPicPr>
                  <pic:blipFill>
                    <a:blip r:embed="rId19"/>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[14],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[41],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2"/>
    <w:bookmarkStart w:id="23"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[13]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Rare classes are known to starve class-conditional</w:t>
      </w:r>
      <w:r>
        <w:t xml:space="preserve"> </w:t>
      </w:r>
      <w:r>
        <w:t xml:space="preserve">calibration under exchangeability [42]; under hierarchical dependence the count</w:t>
      </w:r>
      <w:r>
        <w:t xml:space="preserve"> </w:t>
      </w:r>
      <w:r>
        <w:t xml:space="preserve">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thresholds under clustering</w:t>
      </w:r>
      <w:r>
        <w:t xml:space="preserve"> </w:t>
      </w:r>
      <w:r>
        <w:t xml:space="preserve">face the same size-biased selection [40].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3"/>
    <w:bookmarkEnd w:id="24"/>
    <w:bookmarkStart w:id="33" w:name="audit-design"/>
    <w:p>
      <w:pPr>
        <w:pStyle w:val="Heading1"/>
      </w:pPr>
      <w:r>
        <w:t xml:space="preserve">4. Audit Design</w:t>
      </w:r>
    </w:p>
    <w:p>
      <w:pPr>
        <w:pStyle w:val="FirstParagraph"/>
        <w:jc w:val="both"/>
      </w:pPr>
      <w:r>
        <w:t xml:space="preserve">The audit has two stages (Fig. 1). First, the three diagnostics of §3 are</w:t>
      </w:r>
      <w:r>
        <w:t xml:space="preserve"> </w:t>
      </w:r>
      <w:r>
        <w:t xml:space="preserve">evaluated from metadata before any model is trained. Second, naive split</w:t>
      </w:r>
      <w:r>
        <w:t xml:space="preserve"> </w:t>
      </w:r>
      <w:r>
        <w:t xml:space="preserve">conformal (B1) and HCP (B12) are compared for coverage and set size on held-out</w:t>
      </w:r>
      <w:r>
        <w:t xml:space="preserve"> </w:t>
      </w:r>
      <w:r>
        <w:t xml:space="preserve">blocks, over 200 random block-level splits per configuration and on three</w:t>
      </w:r>
      <w:r>
        <w:t xml:space="preserve"> </w:t>
      </w:r>
      <w:r>
        <w:t xml:space="preserve">backbones with 0.10 M, 7.2 M and 16.0 M parameters, at feasible levels only.</w:t>
      </w:r>
      <w:r>
        <w:t xml:space="preserve"> </w:t>
      </w:r>
      <w:r>
        <w:t xml:space="preserve">The metadata diagnostics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involve no</w:t>
      </w:r>
      <w:r>
        <w:t xml:space="preserve"> </w:t>
      </w:r>
      <w:r>
        <w:t xml:space="preserve">model and must agree across backbones, a negative control on the pipeline.</w:t>
      </w:r>
      <w:r>
        <w:t xml:space="preserve"> </w:t>
      </w:r>
      <w:r>
        <w:t xml:space="preserve">Throughout, we separate what a dataset</w:t>
      </w:r>
      <w:r>
        <w:t xml:space="preserve"> </w:t>
      </w:r>
      <w:r>
        <w:rPr>
          <w:i/>
          <w:iCs/>
        </w:rPr>
        <w:t xml:space="preserve">documents</w:t>
      </w:r>
      <w:r>
        <w:t xml:space="preserve"> </w:t>
      </w:r>
      <w:r>
        <w:t xml:space="preserve">from what can be</w:t>
      </w:r>
      <w:r>
        <w:t xml:space="preserve"> </w:t>
      </w:r>
      <w:r>
        <w:rPr>
          <w:i/>
          <w:iCs/>
        </w:rPr>
        <w:t xml:space="preserve">observed</w:t>
      </w:r>
      <w:r>
        <w:t xml:space="preserve"> </w:t>
      </w:r>
      <w:r>
        <w:t xml:space="preserve">in it.</w:t>
      </w:r>
    </w:p>
    <w:bookmarkStart w:id="28" w:name="datasets-and-dependence-structures"/>
    <w:p>
      <w:pPr>
        <w:pStyle w:val="Heading2"/>
      </w:pPr>
      <w:r>
        <w:t xml:space="preserve">4.1 Datasets and dependence structures</w:t>
      </w:r>
    </w:p>
    <w:p>
      <w:pPr>
        <w:pStyle w:val="FirstParagraph"/>
        <w:jc w:val="both"/>
      </w:pPr>
      <w:r>
        <w:t xml:space="preserve">The three datasets play different roles and do not replicate one another.</w:t>
      </w:r>
      <w:r>
        <w:t xml:space="preserve"> </w:t>
      </w:r>
      <w:r>
        <w:t xml:space="preserve">Table 1 gives the role of each and the block geometry that places the two</w:t>
      </w:r>
      <w:r>
        <w:t xml:space="preserve"> </w:t>
      </w:r>
      <w:r>
        <w:t xml:space="preserve">primary datasets at opposite ends of the 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Within one dataset the number of blocks and the measurements per block come as a</w:t>
      </w:r>
      <w:r>
        <w:t xml:space="preserve"> </w:t>
      </w:r>
      <w:r>
        <w:t xml:space="preserve">package, so no single dataset can separate their effects. Only</w:t>
      </w:r>
      <w:r>
        <w:t xml:space="preserve"> </w:t>
      </w:r>
      <m:oMath>
        <m:r>
          <m:t>H</m:t>
        </m:r>
      </m:oMath>
      <w:r>
        <w:t xml:space="preserve"> </w:t>
      </w:r>
      <w:r>
        <w:t xml:space="preserve">is a</w:t>
      </w:r>
      <w:r>
        <w:t xml:space="preserve"> </w:t>
      </w:r>
      <w:r>
        <w:t xml:space="preserve">structural property of the data:</w:t>
      </w:r>
      <w:r>
        <w:t xml:space="preserve"> </w:t>
      </w:r>
      <m:oMath>
        <m:sSub>
          <m:e>
            <m:r>
              <m:t>K</m:t>
            </m:r>
          </m:e>
          <m:sub>
            <m:r>
              <m:t>1</m:t>
            </m:r>
          </m:sub>
        </m:sSub>
      </m:oMath>
      <w:r>
        <w:t xml:space="preserve"> </w:t>
      </w:r>
      <w:r>
        <w:t xml:space="preserve">follows from the split design (958 is half</w:t>
      </w:r>
      <w:r>
        <w:t xml:space="preserve"> </w:t>
      </w:r>
      <w:r>
        <w:t xml:space="preserve">of the 1,917 patients in our fold-9 evaluation subset), and the design effect</w:t>
      </w:r>
      <w:r>
        <w:t xml:space="preserve"> </w:t>
      </w:r>
      <w:r>
        <w:t xml:space="preserve">depends on the model through the score ICC</w:t>
      </w:r>
      <w:r>
        <w:t xml:space="preserve"> </w:t>
      </w:r>
      <m:oMath>
        <m:r>
          <m:t>ρ</m:t>
        </m:r>
      </m:oMath>
      <w:r>
        <w:t xml:space="preserve">. Challenge 2021 supports no</w:t>
      </w:r>
      <w:r>
        <w:t xml:space="preserve"> </w:t>
      </w:r>
      <w:r>
        <w:t xml:space="preserve">claim of generality; it is included because a diagnostic that only ever returns</w:t>
      </w:r>
      <w:r>
        <w:t xml:space="preserve"> </w:t>
      </w:r>
      <w:r>
        <w:t xml:space="preserve">“admissible”</w:t>
      </w:r>
      <w:r>
        <w:t xml:space="preserve"> </w:t>
      </w:r>
      <w:r>
        <w:t xml:space="preserve">has not shown that it can discriminate.</w:t>
      </w:r>
    </w:p>
    <w:p>
      <w:pPr>
        <w:pStyle w:val="BodyText"/>
        <w:jc w:val="both"/>
      </w:pPr>
      <w:r>
        <w:rPr>
          <w:b/>
          <w:bCs/>
        </w:rPr>
        <w:t xml:space="preserve">PTB-XL.</w:t>
      </w:r>
      <w:r>
        <w:t xml:space="preserve"> </w:t>
      </w:r>
      <w:r>
        <w:t xml:space="preserve">Version 1.0.3 [2], [15]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which is the</w:t>
      </w:r>
      <w:r>
        <w:t xml:space="preserve"> </w:t>
      </w:r>
      <w:r>
        <w:t xml:space="preserve">situation of Corollary 2. Fig. 3 contrasts these groupings with the MIT-BIH</w:t>
      </w:r>
      <w:r>
        <w:t xml:space="preserve"> </w:t>
      </w:r>
      <w:r>
        <w:t xml:space="preserve">records: the length of each curve is the number of blocks, which governs</w:t>
      </w:r>
      <w:r>
        <w:t xml:space="preserve"> </w:t>
      </w:r>
      <w:r>
        <w:t xml:space="preserve">feasibility, and its height is the block size, which drives the design effect.</w:t>
      </w:r>
    </w:p>
    <w:p>
      <w:pPr>
        <w:pStyle w:val="CaptionedFigure"/>
        <w:jc w:val="both"/>
      </w:pPr>
      <w:r>
        <w:drawing>
          <wp:inline>
            <wp:extent cx="3108960" cy="2150583"/>
            <wp:effectExtent b="0" l="0" r="0" t="0"/>
            <wp:docPr descr="Fig. 3. Block geometry of the two primary datasets: block sizes sorted in decreasing order (log–log). The length of each curve is the number of blocks K and its height the block size; H is the harmonic mean block size over the whole dataset. Groupings that end left of the dotted line cannot support a guarantee at \alpha=0.05 even if every block were used for calibration (Corollary 1)." title="" id="26" name="Picture"/>
            <a:graphic>
              <a:graphicData uri="http://schemas.openxmlformats.org/drawingml/2006/picture">
                <pic:pic>
                  <pic:nvPicPr>
                    <pic:cNvPr descr="figures/fig3_block_geometry.png" id="27" name="Picture"/>
                    <pic:cNvPicPr>
                      <a:picLocks noChangeArrowheads="1" noChangeAspect="1"/>
                    </pic:cNvPicPr>
                  </pic:nvPicPr>
                  <pic:blipFill>
                    <a:blip r:embed="rId25"/>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geometry of the two primary datasets: block sizes sorted in decreasing order (log–log). The length of each curve is the number of blocks</w:t>
      </w:r>
      <w:r>
        <w:t xml:space="preserve"> </w:t>
      </w:r>
      <m:oMath>
        <m:r>
          <m:t>K</m:t>
        </m:r>
      </m:oMath>
      <w:r>
        <w:t xml:space="preserve"> </w:t>
      </w:r>
      <w:r>
        <w:t xml:space="preserve">and its height the block size;</w:t>
      </w:r>
      <w:r>
        <w:t xml:space="preserve"> </w:t>
      </w:r>
      <m:oMath>
        <m:r>
          <m:t>H</m:t>
        </m:r>
      </m:oMath>
      <w:r>
        <w:t xml:space="preserve"> </w:t>
      </w:r>
      <w:r>
        <w:t xml:space="preserve">is the harmonic mean block size over the whole dataset. Groupings that end left of the dotted line cannot support a guarantee at</w:t>
      </w:r>
      <w:r>
        <w:t xml:space="preserve"> </w:t>
      </w:r>
      <m:oMath>
        <m:r>
          <m:t>α</m:t>
        </m:r>
        <m:r>
          <m:rPr>
            <m:sty m:val="p"/>
          </m:rPr>
          <m:t>=</m:t>
        </m:r>
        <m:r>
          <m:t>0.05</m:t>
        </m:r>
      </m:oMath>
      <w:r>
        <w:t xml:space="preserve"> </w:t>
      </w:r>
      <w:r>
        <w:t xml:space="preserve">even if every block were used for calibration (Corollary 1).</w:t>
      </w:r>
    </w:p>
    <w:p>
      <w:pPr>
        <w:pStyle w:val="BodyText"/>
        <w:jc w:val="both"/>
      </w:pPr>
      <w:r>
        <w:t xml:space="preserve">PTB-XL patient blocks are many and nearly singletons; the other three PTB-XL</w:t>
      </w:r>
      <w:r>
        <w:t xml:space="preserve"> </w:t>
      </w:r>
      <w:r>
        <w:t xml:space="preserve">sources and the MIT-BIH records offer few blocks of hundreds to thousands of</w:t>
      </w:r>
      <w:r>
        <w:t xml:space="preserve"> </w:t>
      </w:r>
      <w:r>
        <w:t xml:space="preserve">observations each. The published stratified ten-fold split is used as released</w:t>
      </w:r>
      <w:r>
        <w:t xml:space="preserve"> </w:t>
      </w:r>
      <w:r>
        <w:t xml:space="preserve">(17,418 records in folds 1–8, 2,183 in fold 9, 2,198 in fold 10), with no patient</w:t>
      </w:r>
      <w:r>
        <w:t xml:space="preserve"> </w:t>
      </w:r>
      <w:r>
        <w:t xml:space="preserve">in two folds. Cardiologists validated 67.0% of records in folds 1–8 on average</w:t>
      </w:r>
      <w:r>
        <w:t xml:space="preserve"> </w:t>
      </w:r>
      <w:r>
        <w:t xml:space="preserve">(range 64–68%) but every record in folds 9 and 10, so confirmatory analysis is</w:t>
      </w:r>
      <w:r>
        <w:t xml:space="preserve"> </w:t>
      </w:r>
      <w:r>
        <w:t xml:space="preserve">restricted to folds 9–10, with fold 10 held in reserve and still unexamined.</w:t>
      </w:r>
    </w:p>
    <w:p>
      <w:pPr>
        <w:pStyle w:val="BodyText"/>
        <w:jc w:val="both"/>
      </w:pPr>
      <w:r>
        <w:rPr>
          <w:b/>
          <w:bCs/>
        </w:rPr>
        <w:t xml:space="preserve">MIT-BIH.</w:t>
      </w:r>
      <w:r>
        <w:t xml:space="preserve"> </w:t>
      </w:r>
      <w:r>
        <w:t xml:space="preserve">Version 1.0.0 [16] contains 48 half-hour two-channel recordings at</w:t>
      </w:r>
      <w:r>
        <w:t xml:space="preserve"> </w:t>
      </w:r>
      <w:r>
        <w:t xml:space="preserve">360 Hz, annotated beat by beat by cardiologists. The four paced records (102,</w:t>
      </w:r>
      <w:r>
        <w:t xml:space="preserve"> </w:t>
      </w:r>
      <w:r>
        <w:t xml:space="preserve">104, 107, 217) are removed as usual, leaving 44. Mapping annotations to the five</w:t>
      </w:r>
      <w:r>
        <w:t xml:space="preserve"> </w:t>
      </w:r>
      <w:r>
        <w:t xml:space="preserve">AAMI classes gives 100,733 beats, each a window centered on its R peak, filtered</w:t>
      </w:r>
      <w:r>
        <w:t xml:space="preserve"> </w:t>
      </w:r>
      <w:r>
        <w:t xml:space="preserve">as for PTB-XL and z-normalized per beat. The 40 beats within 128 samples of a</w:t>
      </w:r>
      <w:r>
        <w:t xml:space="preserve"> </w:t>
      </w:r>
      <w:r>
        <w:t xml:space="preserve">record boundary cannot fit a full 256-sample (711 ms) window and are dropped</w:t>
      </w:r>
      <w:r>
        <w:t xml:space="preserve"> </w:t>
      </w:r>
      <w:r>
        <w:t xml:space="preserve">rather than zero-padded, leaving 100,693: N 90,087, S 2,781, V 7,008, F 802 and</w:t>
      </w:r>
      <w:r>
        <w:t xml:space="preserve"> </w:t>
      </w:r>
      <w:r>
        <w:t xml:space="preserve">Q 15, with class Q kept and reported as degenerate. The MLII lead is selected by</w:t>
      </w:r>
      <w:r>
        <w:t xml:space="preserve"> </w:t>
      </w:r>
      <w:r>
        <w:t xml:space="preserve">name, because record 114 stores its channels as</w:t>
      </w:r>
      <w:r>
        <w:t xml:space="preserve"> </w:t>
      </w:r>
      <w:r>
        <w:rPr>
          <w:rStyle w:val="VerbatimChar"/>
        </w:rPr>
        <w:t xml:space="preserve">[V5, MLII]</w:t>
      </w:r>
      <w:r>
        <w:t xml:space="preserve"> </w:t>
      </w:r>
      <w:r>
        <w:t xml:space="preserve">and selection by</w:t>
      </w:r>
      <w:r>
        <w:t xml:space="preserve"> </w:t>
      </w:r>
      <w:r>
        <w:t xml:space="preserve">index would silently swap leads. The inter-patient partition splits the records</w:t>
      </w:r>
      <w:r>
        <w:t xml:space="preserve"> </w:t>
      </w:r>
      <w:r>
        <w:t xml:space="preserve">into DS1 and DS2, 22 each, with 51,000 and 49,693 beats. Records hold 1,517 to</w:t>
      </w:r>
      <w:r>
        <w:t xml:space="preserve"> </w:t>
      </w:r>
      <w:r>
        <w:t xml:space="preserve">3,361 beats (median 2,257), three orders of magnitude more than a PTB-XL block.</w:t>
      </w:r>
      <w:r>
        <w:t xml:space="preserve"> </w:t>
      </w:r>
      <w:r>
        <w:t xml:space="preserve">Records 201 and 202 come from one subject but fall on opposite sides of the</w:t>
      </w:r>
      <w:r>
        <w:t xml:space="preserve"> </w:t>
      </w:r>
      <w:r>
        <w:t xml:space="preserve">partition; we keep the standard 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[17] holds 66,416 records in seven non-duplicate source folders. No sampled</w:t>
      </w:r>
      <w:r>
        <w:t xml:space="preserve"> </w:t>
      </w:r>
      <w:r>
        <w:t xml:space="preserve">header field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w:t>
      </w:r>
      <w:r>
        <w:t xml:space="preserve"> </w:t>
      </w:r>
      <w:r>
        <w:t xml:space="preserve">Proposition 1; for the patient partition,</w:t>
      </w:r>
      <w:r>
        <w:t xml:space="preserve"> </w:t>
      </w:r>
      <m:oMath>
        <m:sSub>
          <m:e>
            <m:r>
              <m:t>K</m:t>
            </m:r>
          </m:e>
          <m:sub>
            <m:r>
              <m:t>1</m:t>
            </m:r>
          </m:sub>
        </m:sSub>
      </m:oMath>
      <w:r>
        <w:t xml:space="preserve"> </w:t>
      </w:r>
      <w:r>
        <w:t xml:space="preserve">becomes an assumption that</w:t>
      </w:r>
      <w:r>
        <w:t xml:space="preserve"> </w:t>
      </w:r>
      <w:r>
        <w:t xml:space="preserve">authors must state.</w:t>
      </w:r>
    </w:p>
    <w:bookmarkEnd w:id="28"/>
    <w:bookmarkStart w:id="29"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[13]. Because we ask</w:t>
      </w:r>
      <w:r>
        <w:t xml:space="preserve"> </w:t>
      </w:r>
      <w:r>
        <w:t xml:space="preserve">whether any guarantee can be enforced, not which construction is most efficient,</w:t>
      </w:r>
      <w:r>
        <w:t xml:space="preserve"> </w:t>
      </w:r>
      <w:r>
        <w:t xml:space="preserve">the constructions of Dunn et al. [14] and Mondrian conformal prediction are not</w:t>
      </w:r>
      <w:r>
        <w:t xml:space="preserve"> </w:t>
      </w:r>
      <w:r>
        <w:t xml:space="preserve">compared.</w:t>
      </w:r>
    </w:p>
    <w:p>
      <w:pPr>
        <w:pStyle w:val="BodyText"/>
        <w:jc w:val="both"/>
      </w:pPr>
      <w:r>
        <w:t xml:space="preserve">PTB-XL uses folds 1–6 for training, fold 7 for validation, and fold 9 split at</w:t>
      </w:r>
      <w:r>
        <w:t xml:space="preserve"> </w:t>
      </w:r>
      <w:r>
        <w:t xml:space="preserve">the patient level into calibration and evaluation halves, with 200–400</w:t>
      </w:r>
      <w:r>
        <w:t xml:space="preserve"> </w:t>
      </w:r>
      <w:r>
        <w:t xml:space="preserve">repetitions; fold 8 is left out because its label quality differs from that of</w:t>
      </w:r>
      <w:r>
        <w:t xml:space="preserve"> </w:t>
      </w:r>
      <w:r>
        <w:t xml:space="preserve">fold 9, and fold 10 is reserved for one final confirmatory evaluation. MIT-BIH</w:t>
      </w:r>
      <w:r>
        <w:t xml:space="preserve"> </w:t>
      </w:r>
      <w:r>
        <w:t xml:space="preserve">trains on DS1 minus four validation records (124, 205, 215, 230), validates on</w:t>
      </w:r>
      <w:r>
        <w:t xml:space="preserve"> </w:t>
      </w:r>
      <w:r>
        <w:t xml:space="preserve">those four, and splits DS2 11/11 at the record level into calibration and</w:t>
      </w:r>
      <w:r>
        <w:t xml:space="preserve"> </w:t>
      </w:r>
      <w:r>
        <w:t xml:space="preserve">evaluation, again with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The guarantee (2) of HCP concerns one observation from</w:t>
      </w:r>
      <w:r>
        <w:t xml:space="preserve"> </w:t>
      </w:r>
      <w:r>
        <w:t xml:space="preserve">a new block, and its empirical counterpart averages within each test block before</w:t>
      </w:r>
      <w:r>
        <w:t xml:space="preserve"> </w:t>
      </w:r>
      <w:r>
        <w:t xml:space="preserve">averaging over blocks. The two coincide for equal block sizes and nearly so on</w:t>
      </w:r>
      <w:r>
        <w:t xml:space="preserve"> </w:t>
      </w:r>
      <w:r>
        <w:t xml:space="preserve">PTB-XL; MIT-BIH records differ in length by up to a factor of 2.2, so both are</w:t>
      </w:r>
      <w:r>
        <w:t xml:space="preserve"> </w:t>
      </w:r>
      <w:r>
        <w:t xml:space="preserve">reported there (§5.3). On PTB-XL we report superset coverage (5), using the</w:t>
      </w:r>
      <w:r>
        <w:t xml:space="preserve"> </w:t>
      </w:r>
      <w:r>
        <w:t xml:space="preserve">maximum score over the true labels.</w:t>
      </w:r>
    </w:p>
    <w:bookmarkEnd w:id="29"/>
    <w:bookmarkStart w:id="30" w:name="models-and-conformity-scores"/>
    <w:p>
      <w:pPr>
        <w:pStyle w:val="Heading2"/>
      </w:pPr>
      <w:r>
        <w:t xml:space="preserve">4.3 Models and conformity scores</w:t>
      </w:r>
    </w:p>
    <w:p>
      <w:pPr>
        <w:pStyle w:val="FirstParagraph"/>
        <w:jc w:val="both"/>
      </w:pPr>
      <w:r>
        <w:t xml:space="preserve">Conformal guarantees do not depend on the model, so the backbone changes the size</w:t>
      </w:r>
      <w:r>
        <w:t xml:space="preserve"> </w:t>
      </w:r>
      <w:r>
        <w:t xml:space="preserve">of prediction sets, not their validity. The primary backbone, SmallECGNet, is a</w:t>
      </w:r>
      <w:r>
        <w:t xml:space="preserve"> </w:t>
      </w:r>
      <w:r>
        <w:t xml:space="preserve">compact 1-D convolutional network with 104,389 parameters for 12-lead input and</w:t>
      </w:r>
      <w:r>
        <w:t xml:space="preserve"> </w:t>
      </w:r>
      <w:r>
        <w:t xml:space="preserve">101,925 for a single lead. Each audit is repeated with two 1-D residual networks</w:t>
      </w:r>
      <w:r>
        <w:t xml:space="preserve"> </w:t>
      </w:r>
      <w:r>
        <w:t xml:space="preserve">of the PTB-XL benchmark family [1], ResNet1D-34 (7,225,733 / 7,220,805</w:t>
      </w:r>
      <w:r>
        <w:t xml:space="preserve"> </w:t>
      </w:r>
      <w:r>
        <w:t xml:space="preserve">parameters) and ResNet1D-50 (15,969,413 / 15,964,485), trained with Adam</w:t>
      </w:r>
      <w:r>
        <w:t xml:space="preserve"> </w:t>
      </w:r>
      <w:r>
        <w:t xml:space="preserve">(learning rate</w:t>
      </w:r>
      <w:r>
        <w:t xml:space="preserve"> </w:t>
      </w:r>
      <m:oMath>
        <m:sSup>
          <m:e>
            <m:r>
              <m:t>10</m:t>
            </m:r>
          </m:e>
          <m:sup>
            <m:r>
              <m:rPr>
                <m:sty m:val="p"/>
              </m:rPr>
              <m:t>−</m:t>
            </m:r>
            <m:r>
              <m:t>3</m:t>
            </m:r>
          </m:sup>
        </m:sSup>
      </m:oMath>
      <w:r>
        <w:t xml:space="preserve">), early stopping on validation loss (patience 5) and a</w:t>
      </w:r>
      <w:r>
        <w:t xml:space="preserve"> </w:t>
      </w:r>
      <w:r>
        <w:t xml:space="preserve">cap of 25 epochs on PTB-XL and 30 on MIT-BIH. The SmallECGNet weights come from</w:t>
      </w:r>
      <w:r>
        <w:t xml:space="preserve"> </w:t>
      </w:r>
      <w:r>
        <w:t xml:space="preserve">the primary study, which used the same optimizer and stopping rule, and are not</w:t>
      </w:r>
      <w:r>
        <w:t xml:space="preserve"> </w:t>
      </w:r>
      <w:r>
        <w:t xml:space="preserve">retrained. Losses are binary cross-entropy over the five superclasses (PTB-XL)</w:t>
      </w:r>
      <w:r>
        <w:t xml:space="preserve"> </w:t>
      </w:r>
      <w:r>
        <w:t xml:space="preserve">and cross-entropy over the five AAMI classes (MIT-BIH), without class weighting.</w:t>
      </w:r>
      <w:r>
        <w:t xml:space="preserve"> </w:t>
      </w:r>
      <w:r>
        <w:t xml:space="preserve">Batches hold 128 records or 256 beats; for the residual networks they are</w:t>
      </w:r>
      <w:r>
        <w:t xml:space="preserve"> </w:t>
      </w:r>
      <w:r>
        <w:t xml:space="preserve">accumulated from micro-batches of 32 or 64, so batch-normalization statistics</w:t>
      </w:r>
      <w:r>
        <w:t xml:space="preserve"> </w:t>
      </w:r>
      <w:r>
        <w:t xml:space="preserve">are per micro-batch. The primary backbone reaches a macro-AUROC of 0.9016 on</w:t>
      </w:r>
      <w:r>
        <w:t xml:space="preserve"> </w:t>
      </w:r>
      <w:r>
        <w:t xml:space="preserve">PTB-XL and, on MIT-BIH, an accuracy of 0.8690 with balanced accuracy 0.3748 and</w:t>
      </w:r>
      <w:r>
        <w:t xml:space="preserve"> </w:t>
      </w:r>
      <w:r>
        <w:t xml:space="preserve">macro-F1 0.3144. The backbones were deliberately not tuned for discrimination:</w:t>
      </w:r>
      <w:r>
        <w:t xml:space="preserve"> </w:t>
      </w:r>
      <w:r>
        <w:t xml:space="preserve">validity holds for any score fixed before calibration, so a weak minority-class</w:t>
      </w:r>
      <w:r>
        <w:t xml:space="preserve"> </w:t>
      </w:r>
      <w:r>
        <w:t xml:space="preserve">score enlarges sets without affecting the coverage under audit, and three</w:t>
      </w:r>
      <w:r>
        <w:t xml:space="preserve"> </w:t>
      </w:r>
      <w:r>
        <w:t xml:space="preserve">backbones show that no conclusion hinges on one score.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the record-level score for superset coverage is the</w:t>
      </w:r>
      <w:r>
        <w:t xml:space="preserve"> </w:t>
      </w:r>
      <w:r>
        <w:t xml:space="preserve">maximum over the true labels, which reduces to scalar HCP (§3.4).</w:t>
      </w:r>
    </w:p>
    <w:bookmarkEnd w:id="30"/>
    <w:bookmarkStart w:id="31"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Two kinds of uncertainty are</w:t>
      </w:r>
      <w:r>
        <w:t xml:space="preserve"> </w:t>
      </w:r>
      <w:r>
        <w:t xml:space="preserve">kept apart. Intervals over repeated random splits of a fixed set of blocks</w:t>
      </w:r>
      <w:r>
        <w:t xml:space="preserve"> </w:t>
      </w:r>
      <w:r>
        <w:t xml:space="preserve">describe the Monte Carlo variability of the split procedure on those blocks; they</w:t>
      </w:r>
      <w:r>
        <w:t xml:space="preserve"> </w:t>
      </w:r>
      <w:r>
        <w:t xml:space="preserve">narrow as splits are added and are not confidence intervals for the patient</w:t>
      </w:r>
      <w:r>
        <w:t xml:space="preserve"> </w:t>
      </w:r>
      <w:r>
        <w:t xml:space="preserve">population. For the central MIT-BIH comparison we therefore also treat records as</w:t>
      </w:r>
      <w:r>
        <w:t xml:space="preserve"> </w:t>
      </w:r>
      <w:r>
        <w:t xml:space="preserve">the sampling unit, with a leave-one-record-out jackknife over the 22 DS2 records</w:t>
      </w:r>
      <w:r>
        <w:t xml:space="preserve"> </w:t>
      </w:r>
      <w:r>
        <w:t xml:space="preserve">and Holm correction across the three</w:t>
      </w:r>
      <w:r>
        <w:t xml:space="preserve"> </w:t>
      </w:r>
      <m:oMath>
        <m:r>
          <m:t>α</m:t>
        </m:r>
      </m:oMath>
      <w:r>
        <w:t xml:space="preserve"> </w:t>
      </w:r>
      <w:r>
        <w:t xml:space="preserve">levels of each backbone, added post</w:t>
      </w:r>
      <w:r>
        <w:t xml:space="preserve"> </w:t>
      </w:r>
      <w:r>
        <w:t xml:space="preserve">hoc once the distinction was noticed. All analyses follow an internal,</w:t>
      </w:r>
      <w:r>
        <w:t xml:space="preserve"> </w:t>
      </w:r>
      <w:r>
        <w:t xml:space="preserve">version-controlled protocol whose deviation log lists every departure from the</w:t>
      </w:r>
      <w:r>
        <w:t xml:space="preserve"> </w:t>
      </w:r>
      <w:r>
        <w:t xml:space="preserve">initial plan (§6.4). Friedman–Nemenyi tests are avoided: they are designed for</w:t>
      </w:r>
      <w:r>
        <w:t xml:space="preserve"> </w:t>
      </w:r>
      <w:r>
        <w:t xml:space="preserve">many classifiers over many datasets, conventionally five or more, and are</w:t>
      </w:r>
      <w:r>
        <w:t xml:space="preserve"> </w:t>
      </w:r>
      <w:r>
        <w:t xml:space="preserve">uninformative with two.</w:t>
      </w:r>
    </w:p>
    <w:p>
      <w:pPr>
        <w:pStyle w:val="BodyText"/>
        <w:jc w:val="both"/>
      </w:pPr>
      <w:r>
        <w:t xml:space="preserve">The permutation null reassigns beats to DS2 records through one random</w:t>
      </w:r>
      <w:r>
        <w:t xml:space="preserve"> </w:t>
      </w:r>
      <w:r>
        <w:t xml:space="preserve">permutation of their record labels, preserving every block size, and the observed</w:t>
      </w:r>
      <w:r>
        <w:t xml:space="preserve"> </w:t>
      </w:r>
      <w:r>
        <w:t xml:space="preserve">and permuted arms share the same sequence of splits. In the factorial design the</w:t>
      </w:r>
      <w:r>
        <w:t xml:space="preserve"> </w:t>
      </w:r>
      <w:r>
        <w:t xml:space="preserve">clustered arm uses the original records and the randomized arm the permuted ones;</w:t>
      </w:r>
      <w:r>
        <w:t xml:space="preserve"> </w:t>
      </w:r>
      <w:r>
        <w:t xml:space="preserve">the balanced arm subsamples every calibration record to 1,355 beats (60% of the</w:t>
      </w:r>
      <w:r>
        <w:t xml:space="preserve"> </w:t>
      </w:r>
      <w:r>
        <w:t xml:space="preserve">mean record length) and the imbalanced arm to 60% of its own length, so that</w:t>
      </w:r>
      <w:r>
        <w:t xml:space="preserve"> </w:t>
      </w:r>
      <w:r>
        <w:t xml:space="preserve">calibration sizes match in expectation, while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again preserving block sizes, and subsamples</w:t>
      </w:r>
      <w:r>
        <w:t xml:space="preserve"> </w:t>
      </w:r>
      <w:r>
        <w:t xml:space="preserve">calibration records to 1,355 beats. Intraclass correlations use the one-way ANOVA</w:t>
      </w:r>
      <w:r>
        <w:t xml:space="preserve"> </w:t>
      </w:r>
      <w:r>
        <w:t xml:space="preserve">estimator for unbalanced 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 conformity</w:t>
      </w:r>
      <w:r>
        <w:t xml:space="preserve"> </w:t>
      </w:r>
      <w:r>
        <w:t xml:space="preserve">scores (on PTB-XL, the superset score of (5)); the indicator version thresholds at</w:t>
      </w:r>
      <w:r>
        <w:t xml:space="preserve"> </w:t>
      </w:r>
      <w:r>
        <w:t xml:space="preserve">the</w:t>
      </w:r>
      <w:r>
        <w:t xml:space="preserve"> </w:t>
      </w:r>
      <m:oMath>
        <m:r>
          <m:rPr>
            <m:sty m:val="p"/>
          </m:rPr>
          <m:t>(</m:t>
        </m:r>
        <m:r>
          <m:t>1</m:t>
        </m:r>
        <m:r>
          <m:rPr>
            <m:sty m:val="p"/>
          </m:rPr>
          <m:t>−</m:t>
        </m:r>
        <m:r>
          <m:t>α</m:t>
        </m:r>
        <m:r>
          <m:rPr>
            <m:sty m:val="p"/>
          </m:rPr>
          <m:t>)</m:t>
        </m:r>
      </m:oMath>
      <w:r>
        <w:t xml:space="preserve"> </w:t>
      </w:r>
      <w:r>
        <w:t xml:space="preserve">quantile of all evaluation scores. Table 2 lists the procedure</w:t>
      </w:r>
      <w:r>
        <w:t xml:space="preserve"> </w:t>
      </w:r>
      <w:r>
        <w:t xml:space="preserve">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1"/>
    <w:bookmarkStart w:id="32"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2"/>
    <w:bookmarkEnd w:id="33"/>
    <w:bookmarkStart w:id="57"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0"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patient</w:t>
      </w:r>
      <w:r>
        <w:t xml:space="preserve"> </w:t>
      </w:r>
      <w:r>
        <w:t xml:space="preserve">blocking is feasible at every conventional</w:t>
      </w:r>
      <w:r>
        <w:t xml:space="preserve"> </w:t>
      </w:r>
      <m:oMath>
        <m:r>
          <m:t>α</m:t>
        </m:r>
      </m:oMath>
      <w:r>
        <w:t xml:space="preserve">, and each coarser source</w:t>
      </w:r>
      <w:r>
        <w:t xml:space="preserve"> </w:t>
      </w:r>
      <w:r>
        <w:t xml:space="preserve">narrows the admissible range.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[41].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35" name="Picture"/>
            <a:graphic>
              <a:graphicData uri="http://schemas.openxmlformats.org/drawingml/2006/picture">
                <pic:pic>
                  <pic:nvPicPr>
                    <pic:cNvPr descr="figures/fig4_feasibility_frontier.png" id="36" name="Picture"/>
                    <pic:cNvPicPr>
                      <a:picLocks noChangeArrowheads="1" noChangeAspect="1"/>
                    </pic:cNvPicPr>
                  </pic:nvPicPr>
                  <pic:blipFill>
                    <a:blip r:embed="rId34"/>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All superclasses pass, but 24 of the 44 SCP codes</w:t>
      </w:r>
      <w:r>
        <w:t xml:space="preserve"> </w:t>
      </w:r>
      <w:r>
        <w:t xml:space="preserve">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w:t>
      </w:r>
      <w:r>
        <w:t xml:space="preserve"> </w:t>
      </w:r>
      <w:r>
        <w:t xml:space="preserve">Bonferroni correction across labels makes 43 of 44 codes infeasible at a</w:t>
      </w:r>
      <w:r>
        <w:t xml:space="preserve"> </w:t>
      </w:r>
      <w:r>
        <w:t xml:space="preserve">family-wise</w:t>
      </w:r>
      <w:r>
        <w:t xml:space="preserve"> </w:t>
      </w:r>
      <m:oMath>
        <m:r>
          <m:t>α</m:t>
        </m:r>
        <m:r>
          <m:rPr>
            <m:sty m:val="p"/>
          </m:rPr>
          <m:t>=</m:t>
        </m:r>
        <m:r>
          <m:t>0.05</m:t>
        </m:r>
      </m:oMath>
      <w:r>
        <w:t xml:space="preserve">. Table 4 counts the failing labels per level.</w:t>
      </w:r>
    </w:p>
    <w:p>
      <w:pPr>
        <w:pStyle w:val="BodyText"/>
        <w:keepNext/>
        <w:spacing w:before="160"/>
        <w:jc w:val="left"/>
      </w:pPr>
      <w:r/>
      <w:r>
        <w:rPr>
          <w:b/>
          <w:sz w:val="18"/>
        </w:rPr>
        <w:t xml:space="preserve">Table 4. </w:t>
      </w:r>
      <w:r>
        <w:rPr>
          <w:sz w:val="18"/>
        </w:rPr>
        <w:t>Labels failing the necessary condition of Proposition 3,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303520" cy="1595119"/>
            <wp:effectExtent b="0" l="0" r="0" t="0"/>
            <wp:docPr descr="Fig. 5.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38" name="Picture"/>
            <a:graphic>
              <a:graphicData uri="http://schemas.openxmlformats.org/drawingml/2006/picture">
                <pic:pic>
                  <pic:nvPicPr>
                    <pic:cNvPr descr="figures/fig5_label_feasibility.png" id="39" name="Picture"/>
                    <pic:cNvPicPr>
                      <a:picLocks noChangeArrowheads="1" noChangeAspect="1"/>
                    </pic:cNvPicPr>
                  </pic:nvPicPr>
                  <pic:blipFill>
                    <a:blip r:embed="rId37"/>
                    <a:stretch>
                      <a:fillRect/>
                    </a:stretch>
                  </pic:blipFill>
                  <pic:spPr bwMode="auto">
                    <a:xfrm>
                      <a:off x="0" y="0"/>
                      <a:ext cx="5303520" cy="1595119"/>
                    </a:xfrm>
                    <a:prstGeom prst="rect">
                      <a:avLst/>
                    </a:prstGeom>
                    <a:noFill/>
                    <a:ln w="9525">
                      <a:noFill/>
                      <a:headEnd/>
                      <a:tailEnd/>
                    </a:ln>
                  </pic:spPr>
                </pic:pic>
              </a:graphicData>
            </a:graphic>
          </wp:inline>
        </w:drawing>
      </w:r>
    </w:p>
    <w:p>
      <w:pPr>
        <w:pStyle w:val="ImageCaption"/>
        <w:jc w:val="both"/>
      </w:pPr>
      <w:r>
        <w:t xml:space="preserve">Fig. 5.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bookmarkEnd w:id="40"/>
    <w:bookmarkStart w:id="44"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303520" cy="1669438"/>
            <wp:effectExtent b="0" l="0" r="0" t="0"/>
            <wp:docPr descr="Fig. 6. Coverage minus nominal 1-\alpha for split conformal (B1, mean with 2.5–97.5% range across 200 block-level splits) and HCP (B12, mean), primary backbone. Shaded MIT-BIH levels lie below \alpha_{\min}=1/12, where HCP returns every label. Note the different vertical scales." title="" id="42" name="Picture"/>
            <a:graphic>
              <a:graphicData uri="http://schemas.openxmlformats.org/drawingml/2006/picture">
                <pic:pic>
                  <pic:nvPicPr>
                    <pic:cNvPr descr="figures/fig6_coverage.png" id="43" name="Picture"/>
                    <pic:cNvPicPr>
                      <a:picLocks noChangeArrowheads="1" noChangeAspect="1"/>
                    </pic:cNvPicPr>
                  </pic:nvPicPr>
                  <pic:blipFill>
                    <a:blip r:embed="rId41"/>
                    <a:stretch>
                      <a:fillRect/>
                    </a:stretch>
                  </pic:blipFill>
                  <pic:spPr bwMode="auto">
                    <a:xfrm>
                      <a:off x="0" y="0"/>
                      <a:ext cx="5303520" cy="1669438"/>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44"/>
    <w:bookmarkStart w:id="48" w:name="X971afb3920367740875daf59080031d77744c88"/>
    <w:p>
      <w:pPr>
        <w:pStyle w:val="Heading2"/>
      </w:pPr>
      <w:r>
        <w:t xml:space="preserve">5.3 The deficit is attributable to dependence</w:t>
      </w:r>
    </w:p>
    <w:p>
      <w:pPr>
        <w:pStyle w:val="FirstParagraph"/>
        <w:jc w:val="both"/>
      </w:pPr>
      <w:r>
        <w:rPr>
          <w:b/>
          <w:bCs/>
        </w:rPr>
        <w:t xml:space="preserve">Permutation null.</w:t>
      </w:r>
      <w:r>
        <w:t xml:space="preserve"> </w:t>
      </w:r>
      <w:r>
        <w:t xml:space="preserve">To test whether dependence causes B1 to under-cover, we</w:t>
      </w:r>
      <w:r>
        <w:t xml:space="preserve"> </w:t>
      </w:r>
      <w:r>
        <w:t xml:space="preserve">compared it with a matched null that permutes the assignment of beats to records</w:t>
      </w:r>
      <w:r>
        <w:t xml:space="preserve"> </w:t>
      </w:r>
      <w:r>
        <w:t xml:space="preserve">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percentile bootstrap over 200 paired splits of the 22 DS2 records, conditional on those records. Record level: leave-one-record-out jackknife (500 paired splits and a new permutation per replicate), 95% t interval with 21 df and Holm-adjusted one-sided p.</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(same jackknife</w:t>
      </w:r>
      <w:r>
        <w:t xml:space="preserve"> </w:t>
      </w:r>
      <w:r>
        <w:t xml:space="preserve">runs, full data).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Define the</w:t>
      </w:r>
      <w:r>
        <w:t xml:space="preserve"> </w:t>
      </w:r>
      <w:r>
        <w:t xml:space="preserve">mechanical share as the B12−B1 gap in the permuted arm divided by the gap on the</w:t>
      </w:r>
      <w:r>
        <w:t xml:space="preserve"> </w:t>
      </w:r>
      <w:r>
        <w:t xml:space="preserve">original data. It lies between 81% and 107%: removing dependence barely changes</w:t>
      </w:r>
      <w:r>
        <w:t xml:space="preserve"> </w:t>
      </w:r>
      <w:r>
        <w:t xml:space="preserve">the gap, and at</w:t>
      </w:r>
      <w:r>
        <w:t xml:space="preserve"> </w:t>
      </w:r>
      <m:oMath>
        <m:r>
          <m:t>α</m:t>
        </m:r>
        <m:r>
          <m:rPr>
            <m:sty m:val="p"/>
          </m:rPr>
          <m:t>=</m:t>
        </m:r>
        <m:r>
          <m:t>0.10</m:t>
        </m:r>
      </m:oMath>
      <w:r>
        <w:t xml:space="preserve"> </w:t>
      </w:r>
      <w:r>
        <w:t xml:space="preserve">the gap is slightly wider without dependence,</w:t>
      </w:r>
      <w:r>
        <w:t xml:space="preserve"> </w:t>
      </w:r>
      <w:r>
        <w:t xml:space="preserve">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w:t>
      </w:r>
      <w:r>
        <w:t xml:space="preserve"> </w:t>
      </w:r>
      <w:r>
        <w:t xml:space="preserve">“B12 improves on B1”</w:t>
      </w:r>
      <w:r>
        <w:t xml:space="preserve"> </w:t>
      </w:r>
      <w:r>
        <w:t xml:space="preserve">was therefore withdrawn as a criterion</w:t>
      </w:r>
      <w:r>
        <w:t xml:space="preserve"> </w:t>
      </w:r>
      <w:r>
        <w:t xml:space="preserve">(§6.4), and the deficit against the permutation null is the evidence used</w:t>
      </w:r>
      <w:r>
        <w:t xml:space="preserve"> </w:t>
      </w:r>
      <w:r>
        <w:t xml:space="preserve">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Imbalance</w:t>
      </w:r>
      <w:r>
        <w:t xml:space="preserve"> </w:t>
      </w:r>
      <w:r>
        <w:t xml:space="preserve">thus amplifies clustering rather than producing the deficit itself. As in</w:t>
      </w:r>
      <w:r>
        <w:t xml:space="preserve"> </w:t>
      </w:r>
      <w:r>
        <w:t xml:space="preserve">Table 6, these intervals are conditional on the 22 DS2 records. Fig. 7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303520" cy="1550454"/>
            <wp:effectExtent b="0" l="0" r="0" t="0"/>
            <wp:docPr descr="Fig. 7.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 title="" id="46" name="Picture"/>
            <a:graphic>
              <a:graphicData uri="http://schemas.openxmlformats.org/drawingml/2006/picture">
                <pic:pic>
                  <pic:nvPicPr>
                    <pic:cNvPr descr="figures/fig7_attribution.png" id="47" name="Picture"/>
                    <pic:cNvPicPr>
                      <a:picLocks noChangeArrowheads="1" noChangeAspect="1"/>
                    </pic:cNvPicPr>
                  </pic:nvPicPr>
                  <pic:blipFill>
                    <a:blip r:embed="rId45"/>
                    <a:stretch>
                      <a:fillRect/>
                    </a:stretch>
                  </pic:blipFill>
                  <pic:spPr bwMode="auto">
                    <a:xfrm>
                      <a:off x="0" y="0"/>
                      <a:ext cx="5303520" cy="1550454"/>
                    </a:xfrm>
                    <a:prstGeom prst="rect">
                      <a:avLst/>
                    </a:prstGeom>
                    <a:noFill/>
                    <a:ln w="9525">
                      <a:noFill/>
                      <a:headEnd/>
                      <a:tailEnd/>
                    </a:ln>
                  </pic:spPr>
                </pic:pic>
              </a:graphicData>
            </a:graphic>
          </wp:inline>
        </w:drawing>
      </w:r>
    </w:p>
    <w:p>
      <w:pPr>
        <w:pStyle w:val="ImageCaption"/>
        <w:jc w:val="both"/>
      </w:pPr>
      <w:r>
        <w:t xml:space="preserve">Fig. 7.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w:t>
      </w:r>
    </w:p>
    <w:bookmarkEnd w:id="48"/>
    <w:bookmarkStart w:id="52"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 and are shown for completeness).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intact</w:t>
      </w:r>
      <w:r>
        <w:t xml:space="preserve"> </w:t>
      </w:r>
      <w:r>
        <w:t xml:space="preserve">MIT-BIH, and on this axis the combined correlation stays positive (0.80–0.85);</w:t>
      </w:r>
      <w:r>
        <w:t xml:space="preserve"> </w:t>
      </w:r>
      <w:r>
        <w:t xml:space="preserve">using the ICC of the coverage indicator at a fixed threshold, the quantity in the</w:t>
      </w:r>
      <w:r>
        <w:t xml:space="preserve"> </w:t>
      </w:r>
      <w:r>
        <w:t xml:space="preserve">variance of §3.2, does not change the conclusion. DEff is a summary axis, not a</w:t>
      </w:r>
      <w:r>
        <w:t xml:space="preserve"> </w:t>
      </w:r>
      <w:r>
        <w:t xml:space="preserve">sufficient statistic; an exceedance-specific design effect is given in [40].</w:t>
      </w:r>
      <w:r>
        <w:t xml:space="preserve"> </w:t>
      </w:r>
      <w:r>
        <w:t xml:space="preserve">Fig. 8 plots the deficit against DEff: the MIT-BIH gradient carries the combined</w:t>
      </w:r>
      <w:r>
        <w:t xml:space="preserve"> </w:t>
      </w:r>
      <w:r>
        <w:t xml:space="preserve">correlation, and PTB-XL serves as a prediction check at the low-dependence end</w:t>
      </w:r>
      <w:r>
        <w:t xml:space="preserve"> </w:t>
      </w:r>
      <w:r>
        <w:t xml:space="preserve">rather than an independent trend (§6.4), with deficits of −0.05, −0.12 and</w:t>
      </w:r>
      <w:r>
        <w:t xml:space="preserve"> </w:t>
      </w:r>
      <w:r>
        <w:t xml:space="preserve">−0.16 pp, i.e. coverage slightly above nominal.</w:t>
      </w:r>
    </w:p>
    <w:p>
      <w:pPr>
        <w:pStyle w:val="CaptionedFigure"/>
        <w:jc w:val="both"/>
      </w:pPr>
      <w:r>
        <w:drawing>
          <wp:inline>
            <wp:extent cx="3108960" cy="2277948"/>
            <wp:effectExtent b="0" l="0" r="0" t="0"/>
            <wp:docPr descr="Fig. 8.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 \alpha=0.10, 0.15, 0.20." title="" id="50" name="Picture"/>
            <a:graphic>
              <a:graphicData uri="http://schemas.openxmlformats.org/drawingml/2006/picture">
                <pic:pic>
                  <pic:nvPicPr>
                    <pic:cNvPr descr="figures/fig8_dose_response.png" id="51" name="Picture"/>
                    <pic:cNvPicPr>
                      <a:picLocks noChangeArrowheads="1" noChangeAspect="1"/>
                    </pic:cNvPicPr>
                  </pic:nvPicPr>
                  <pic:blipFill>
                    <a:blip r:embed="rId49"/>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8.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52"/>
    <w:bookmarkStart w:id="56"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9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303520" cy="1765149"/>
            <wp:effectExtent b="0" l="0" r="0" t="0"/>
            <wp:docPr descr="Fig. 9. Robustness of the audit. (a) MIT-BIH B1 coverage deficit against the matched permutation null, by backbone and \alpha: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alpha cells; shaded quadrants mark agreement in sign and the dotted line marks equality." title="" id="54" name="Picture"/>
            <a:graphic>
              <a:graphicData uri="http://schemas.openxmlformats.org/drawingml/2006/picture">
                <pic:pic>
                  <pic:nvPicPr>
                    <pic:cNvPr descr="figures/fig9_robustness.png" id="55" name="Picture"/>
                    <pic:cNvPicPr>
                      <a:picLocks noChangeArrowheads="1" noChangeAspect="1"/>
                    </pic:cNvPicPr>
                  </pic:nvPicPr>
                  <pic:blipFill>
                    <a:blip r:embed="rId53"/>
                    <a:stretch>
                      <a:fillRect/>
                    </a:stretch>
                  </pic:blipFill>
                  <pic:spPr bwMode="auto">
                    <a:xfrm>
                      <a:off x="0" y="0"/>
                      <a:ext cx="5303520" cy="1765149"/>
                    </a:xfrm>
                    <a:prstGeom prst="rect">
                      <a:avLst/>
                    </a:prstGeom>
                    <a:noFill/>
                    <a:ln w="9525">
                      <a:noFill/>
                      <a:headEnd/>
                      <a:tailEnd/>
                    </a:ln>
                  </pic:spPr>
                </pic:pic>
              </a:graphicData>
            </a:graphic>
          </wp:inline>
        </w:drawing>
      </w:r>
    </w:p>
    <w:p>
      <w:pPr>
        <w:pStyle w:val="ImageCaption"/>
        <w:jc w:val="both"/>
      </w:pPr>
      <w:r>
        <w:t xml:space="preserve">Fig. 9. Robustness of the audit. (a) MIT-BIH B1 coverage deficit against the matched permutation null, by backbone and</w:t>
      </w:r>
      <w:r>
        <w:t xml:space="preserve"> </w:t>
      </w:r>
      <m:oMath>
        <m:r>
          <m:t>α</m:t>
        </m:r>
      </m:oMath>
      <w:r>
        <w:t xml:space="preserve">: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w:t>
      </w:r>
      <m:oMath>
        <m:r>
          <m:t>α</m:t>
        </m:r>
      </m:oMath>
      <w:r>
        <w:t xml:space="preserve"> </w:t>
      </w:r>
      <w:r>
        <w:t xml:space="preserve">cells; shaded quadrants mark agreement in sign and the dotted line marks equality.</w:t>
      </w:r>
    </w:p>
    <w:bookmarkEnd w:id="56"/>
    <w:bookmarkEnd w:id="57"/>
    <w:bookmarkStart w:id="62" w:name="discussion"/>
    <w:p>
      <w:pPr>
        <w:pStyle w:val="Heading1"/>
      </w:pPr>
      <w:r>
        <w:t xml:space="preserve">6. Discussion</w:t>
      </w:r>
    </w:p>
    <w:bookmarkStart w:id="58"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is</w:t>
      </w:r>
      <w:r>
        <w:t xml:space="preserve"> </w:t>
      </w:r>
      <w:r>
        <w:t xml:space="preserve">settled by metadata. On the resources audited here the answer is stricter than</w:t>
      </w:r>
      <w:r>
        <w:t xml:space="preserve"> </w:t>
      </w:r>
      <w:r>
        <w:t xml:space="preserve">their size suggests, because declared sources collapse under the join and rare</w:t>
      </w:r>
      <w:r>
        <w:t xml:space="preserve"> </w:t>
      </w:r>
      <w:r>
        <w:t xml:space="preserve">labels are spread over few patients (§5.1). Proposition 1 makes the point</w:t>
      </w:r>
      <w:r>
        <w:t xml:space="preserve"> </w:t>
      </w:r>
      <w:r>
        <w:t xml:space="preserve">directly: splitting the 22 evaluation subjects of the canonical MIT-BIH partition</w:t>
      </w:r>
      <w:r>
        <w:t xml:space="preserve"> </w:t>
      </w:r>
      <w:r>
        <w:t xml:space="preserve">evenly between calibration and test leaves</w:t>
      </w:r>
      <w:r>
        <w:t xml:space="preserve"> </w:t>
      </w:r>
      <m:oMath>
        <m:sSub>
          <m:e>
            <m:r>
              <m:t>K</m:t>
            </m:r>
          </m:e>
          <m:sub>
            <m:r>
              <m:t>1</m:t>
            </m:r>
          </m:sub>
        </m:sSub>
        <m:r>
          <m:rPr>
            <m:sty m:val="p"/>
          </m:rPr>
          <m:t>=</m:t>
        </m:r>
        <m:r>
          <m:t>11</m:t>
        </m:r>
      </m:oMath>
      <w:r>
        <w:t xml:space="preserve">, which rules out a</w:t>
      </w:r>
      <w:r>
        <w:t xml:space="preserve"> </w:t>
      </w:r>
      <w:r>
        <w:t xml:space="preserve">subject-level guarantee at the 95% level for this design, whatever the model and</w:t>
      </w:r>
      <w:r>
        <w:t xml:space="preserve"> </w:t>
      </w:r>
      <w:r>
        <w:t xml:space="preserve">however many beats each record holds.</w:t>
      </w:r>
    </w:p>
    <w:p>
      <w:pPr>
        <w:pStyle w:val="BodyText"/>
        <w:jc w:val="both"/>
      </w:pPr>
      <w:r>
        <w:t xml:space="preserve">The second question is statistical, and its answer depends on how many repeats</w:t>
      </w:r>
      <w:r>
        <w:t xml:space="preserve"> </w:t>
      </w:r>
      <w:r>
        <w:t xml:space="preserve">blocks contain more than on how strongly their observations correlate</w:t>
      </w:r>
      <w:r>
        <w:t xml:space="preserve"> </w:t>
      </w:r>
      <w:r>
        <w:t xml:space="preserve">(§5.3–§5.4). PTB-XL shows this most clearly. Its within-patient correlation seems</w:t>
      </w:r>
      <w:r>
        <w:t xml:space="preserve"> </w:t>
      </w:r>
      <w:r>
        <w:t xml:space="preserve">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and counting repeats correctly predicts that such</w:t>
      </w:r>
      <w:r>
        <w:t xml:space="preserve"> </w:t>
      </w:r>
      <w:r>
        <w:t xml:space="preserve">calibration is unnecessary for marginal coverage at these levels. Both quantities</w:t>
      </w:r>
      <w:r>
        <w:t xml:space="preserve"> </w:t>
      </w:r>
      <w:r>
        <w:t xml:space="preserve">should be reported, and neither belongs to the dataset alone:</w:t>
      </w:r>
      <w:r>
        <w:t xml:space="preserve"> </w:t>
      </w:r>
      <m:oMath>
        <m:sSub>
          <m:e>
            <m:r>
              <m:t>K</m:t>
            </m:r>
          </m:e>
          <m:sub>
            <m:r>
              <m:t>1</m:t>
            </m:r>
          </m:sub>
        </m:sSub>
      </m:oMath>
      <w:r>
        <w:t xml:space="preserve"> </w:t>
      </w:r>
      <w:r>
        <w:t xml:space="preserve">depends on</w:t>
      </w:r>
      <w:r>
        <w:t xml:space="preserve"> </w:t>
      </w:r>
      <w:r>
        <w:t xml:space="preserve">the split design and</w:t>
      </w:r>
      <w:r>
        <w:t xml:space="preserve"> </w:t>
      </w:r>
      <m:oMath>
        <m:r>
          <m:t>ρ</m:t>
        </m:r>
      </m:oMath>
      <w:r>
        <w:t xml:space="preserve"> </w:t>
      </w:r>
      <w:r>
        <w:t xml:space="preserve">on the model (§4.1). The two questions also meet. On</w:t>
      </w:r>
      <w:r>
        <w:t xml:space="preserve"> </w:t>
      </w:r>
      <w:r>
        <w:t xml:space="preserve">MIT-BIH the deficit has the same sign across backbones, levels and splits of the</w:t>
      </w:r>
      <w:r>
        <w:t xml:space="preserve"> </w:t>
      </w:r>
      <w:r>
        <w:t xml:space="preserve">22 evaluation subjects, yet a jackknife over those subjects cannot resolve it</w:t>
      </w:r>
      <w:r>
        <w:t xml:space="preserve"> </w:t>
      </w:r>
      <w:r>
        <w:t xml:space="preserve">(§5.3): the scarcity of blocks that bounds the guarantee also bounds what an</w:t>
      </w:r>
      <w:r>
        <w:t xml:space="preserve"> </w:t>
      </w:r>
      <w:r>
        <w:t xml:space="preserve">audit of the same subjects can establish.</w:t>
      </w:r>
    </w:p>
    <w:bookmarkEnd w:id="58"/>
    <w:bookmarkStart w:id="59"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On the same</w:t>
      </w:r>
      <w:r>
        <w:t xml:space="preserve"> </w:t>
      </w:r>
      <w:r>
        <w:t xml:space="preserve">data HCP seems to</w:t>
      </w:r>
      <w:r>
        <w:t xml:space="preserve"> </w:t>
      </w:r>
      <w:r>
        <w:t xml:space="preserve">“restore”</w:t>
      </w:r>
      <w:r>
        <w:t xml:space="preserve"> </w:t>
      </w:r>
      <w:r>
        <w:t xml:space="preserve">the coverage that naive split conformal loses, but</w:t>
      </w:r>
      <w:r>
        <w:t xml:space="preserve"> </w:t>
      </w:r>
      <w:r>
        <w:t xml:space="preserve">75–110% of the difference persists once within-block dependence is permuted away</w:t>
      </w:r>
      <w:r>
        <w:t xml:space="preserve"> </w:t>
      </w:r>
      <w:r>
        <w:t xml:space="preserve">(§5.3, §5.5). 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w:t>
      </w:r>
      <w:r>
        <w:t xml:space="preserve"> </w:t>
      </w:r>
      <w:r>
        <w:t xml:space="preserve">quantile regardless of dependence, and when</w:t>
      </w:r>
      <w:r>
        <w:t xml:space="preserve"> </w:t>
      </w:r>
      <m:oMath>
        <m:sSub>
          <m:e>
            <m:r>
              <m:t>K</m:t>
            </m:r>
          </m:e>
          <m:sub>
            <m:r>
              <m:t>1</m:t>
            </m:r>
          </m:sub>
        </m:sSub>
      </m:oMath>
      <w:r>
        <w:t xml:space="preserve"> </w:t>
      </w:r>
      <w:r>
        <w:t xml:space="preserve">is small, exactly where</w:t>
      </w:r>
      <w:r>
        <w:t xml:space="preserve"> </w:t>
      </w:r>
      <w:r>
        <w:t xml:space="preserve">block-level calibration matters, this mechanical inflation dominates. Below</w:t>
      </w:r>
      <w:r>
        <w:t xml:space="preserve"> </w:t>
      </w:r>
      <m:oMath>
        <m:sSub>
          <m:e>
            <m:r>
              <m:t>α</m:t>
            </m:r>
          </m:e>
          <m:sub>
            <m:r>
              <m:rPr>
                <m:sty m:val="p"/>
              </m:rPr>
              <m:t>min</m:t>
            </m:r>
          </m:sub>
        </m:sSub>
      </m:oMath>
      <w:r>
        <w:t xml:space="preserve"> </w:t>
      </w:r>
      <w:r>
        <w:t xml:space="preserve">the comparison degenerates, since HCP covers by returning every</w:t>
      </w:r>
      <w:r>
        <w:t xml:space="preserve"> </w:t>
      </w:r>
      <w:r>
        <w:t xml:space="preserve">label (Fig. 6). A claim that a hierarchical method improves coverage should</w:t>
      </w:r>
      <w:r>
        <w:t xml:space="preserve"> </w:t>
      </w:r>
      <w:r>
        <w:t xml:space="preserve">therefore be tested against a null that keeps block sizes and score marginals but</w:t>
      </w:r>
      <w:r>
        <w:t xml:space="preserve"> </w:t>
      </w:r>
      <w:r>
        <w:t xml:space="preserve">removes dependence, and coverage should always be reported with set size,</w:t>
      </w:r>
      <w:r>
        <w:t xml:space="preserve"> </w:t>
      </w:r>
      <w:r>
        <w:t xml:space="preserve">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With clustered data</w:t>
      </w:r>
      <w:r>
        <w:t xml:space="preserve"> </w:t>
      </w:r>
      <w:r>
        <w:t xml:space="preserve">those splits reuse the same subjects, so the spread or bootstrap interval of the</w:t>
      </w:r>
      <w:r>
        <w:t xml:space="preserve"> </w:t>
      </w:r>
      <w:r>
        <w:t xml:space="preserve">coverages describes the split procedure on those subjects and shrinks as splits</w:t>
      </w:r>
      <w:r>
        <w:t xml:space="preserve"> </w:t>
      </w:r>
      <w:r>
        <w:t xml:space="preserve">are added; it is not a confidence interval for the population. On MIT-BIH this</w:t>
      </w:r>
      <w:r>
        <w:t xml:space="preserve"> </w:t>
      </w:r>
      <w:r>
        <w:t xml:space="preserve">decides the reading: repeated-split intervals exclude zero in most cells of</w:t>
      </w:r>
      <w:r>
        <w:t xml:space="preserve"> </w:t>
      </w:r>
      <w:r>
        <w:t xml:space="preserve">Table 6, while the jackknife over the same 22 subjects includes zero in all of</w:t>
      </w:r>
      <w:r>
        <w:t xml:space="preserve"> </w:t>
      </w:r>
      <w:r>
        <w:t xml:space="preserve">them. Population claims should resample subjects, and with few subjects the</w:t>
      </w:r>
      <w:r>
        <w:t xml:space="preserve"> </w:t>
      </w:r>
      <w:r>
        <w:t xml:space="preserve">honest conclusion may be that the sign of a coverage gap is not yet known.</w:t>
      </w:r>
    </w:p>
    <w:bookmarkEnd w:id="59"/>
    <w:bookmarkStart w:id="60"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2"/>
        </w:numPr>
      </w:pPr>
      <w:r>
        <w:t xml:space="preserve">Declare dependence sources (patient,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2"/>
        </w:numPr>
      </w:pPr>
      <w:r>
        <w:t xml:space="preserve">Count blocks, not records, under the grouping that respects all declared</w:t>
      </w:r>
      <w:r>
        <w:t xml:space="preserve"> </w:t>
      </w:r>
      <w:r>
        <w:t xml:space="preserve">sources, and compare the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for label-conditional claims, using</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over</w:t>
      </w:r>
      <w:r>
        <w:t xml:space="preserve"> </w:t>
      </w:r>
      <m:oMath>
        <m:r>
          <m:t>m</m:t>
        </m:r>
      </m:oMath>
      <w:r>
        <w:t xml:space="preserve"> </w:t>
      </w:r>
      <w:r>
        <w:t xml:space="preserve">labels; rare</w:t>
      </w:r>
      <w:r>
        <w:t xml:space="preserve"> </w:t>
      </w:r>
      <w:r>
        <w:t xml:space="preserve">diagnoses usually fail first.</w:t>
      </w:r>
    </w:p>
    <w:p>
      <w:pPr>
        <w:pStyle w:val="Compact"/>
        <w:numPr>
          <w:ilvl w:val="0"/>
          <w:numId w:val="1002"/>
        </w:numPr>
      </w:pPr>
      <w:r>
        <w:t xml:space="preserve">Estimate repetition 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demographic fairness [43] must also</w:t>
      </w:r>
      <w:r>
        <w:t xml:space="preserve"> </w:t>
      </w:r>
      <w:r>
        <w:t xml:space="preserve">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[36], lie far from this boundary, which is why it is easy to miss.</w:t>
      </w:r>
      <w:r>
        <w:t xml:space="preserve"> </w:t>
      </w:r>
      <w:r>
        <w:t xml:space="preserve">The inter-patient protocol prevents subject-level leakage [30], [32], [31], and</w:t>
      </w:r>
      <w:r>
        <w:t xml:space="preserve"> </w:t>
      </w:r>
      <w:r>
        <w:t xml:space="preserve">training regimes that differ in this respect have been compared [44], but a split</w:t>
      </w:r>
      <w:r>
        <w:t xml:space="preserve"> </w:t>
      </w:r>
      <w:r>
        <w:t xml:space="preserve">that is inter-patient for training can still leave too few subjects in</w:t>
      </w:r>
      <w:r>
        <w:t xml:space="preserve"> </w:t>
      </w:r>
      <w:r>
        <w:t xml:space="preserve">calibration.</w:t>
      </w:r>
    </w:p>
    <w:p>
      <w:pPr>
        <w:pStyle w:val="BodyText"/>
        <w:jc w:val="both"/>
      </w:pPr>
      <w:r>
        <w:t xml:space="preserve">For the design trade-off left open by Lee et al. [13], our results settle the</w:t>
      </w:r>
      <w:r>
        <w:t xml:space="preserve"> </w:t>
      </w:r>
      <w:r>
        <w:t xml:space="preserve">most elementary part: whether a finite threshold exists depends only on the</w:t>
      </w:r>
      <w:r>
        <w:t xml:space="preserve"> </w:t>
      </w:r>
      <w:r>
        <w:t xml:space="preserve">number of groups (Proposition 1). With blocks in place of points, the bound plays</w:t>
      </w:r>
      <w:r>
        <w:t xml:space="preserve"> </w:t>
      </w:r>
      <w:r>
        <w:t xml:space="preserve">the role of the minimum calibration size that the universal coverage</w:t>
      </w:r>
      <w:r>
        <w:t xml:space="preserve"> </w:t>
      </w:r>
      <w:r>
        <w:t xml:space="preserve">distribution of split conformal prediction implies for exchangeable data [45];</w:t>
      </w:r>
      <w:r>
        <w:t xml:space="preserve"> </w:t>
      </w:r>
      <w:r>
        <w:t xml:space="preserve">and, as for rare classes under exchangeability [42], the count that matters per</w:t>
      </w:r>
      <w:r>
        <w:t xml:space="preserve"> </w:t>
      </w:r>
      <w:r>
        <w:t xml:space="preserve">label is that of blocks carrying it, under a necessary but not sufficient</w:t>
      </w:r>
      <w:r>
        <w:t xml:space="preserve"> </w:t>
      </w:r>
      <w:r>
        <w:t xml:space="preserve">condition (§3.4). The findings agree with Sim and Kim [11]: subjects, not beats,</w:t>
      </w:r>
      <w:r>
        <w:t xml:space="preserve"> </w:t>
      </w:r>
      <w:r>
        <w:t xml:space="preserve">carry the guarantee, and too few calibration subjects undermine it. The audit</w:t>
      </w:r>
      <w:r>
        <w:t xml:space="preserve"> </w:t>
      </w:r>
      <w:r>
        <w:t xml:space="preserve">differs in counting blocks under crossed sources and per label, and in separating</w:t>
      </w:r>
      <w:r>
        <w:t xml:space="preserve"> </w:t>
      </w:r>
      <w:r>
        <w:t xml:space="preserve">dependence from block-size imbalance and from the mechanical effect of the</w:t>
      </w:r>
      <w:r>
        <w:t xml:space="preserve"> </w:t>
      </w:r>
      <w:r>
        <w:t xml:space="preserve">finite-block correction. Evidence that marginal coverage can mask per-class and</w:t>
      </w:r>
      <w:r>
        <w:t xml:space="preserve"> </w:t>
      </w:r>
      <w:r>
        <w:t xml:space="preserve">per-patient failures in cardiac monitoring [10] matches the label-level boundary</w:t>
      </w:r>
      <w:r>
        <w:t xml:space="preserve"> </w:t>
      </w:r>
      <w:r>
        <w:t xml:space="preserve">of §5.1. Risk-control extensions [34], [46] and time-series variants [35] rest on</w:t>
      </w:r>
      <w:r>
        <w:t xml:space="preserve"> </w:t>
      </w:r>
      <w:r>
        <w:t xml:space="preserve">related exchangeability or stationarity assumptions; whether their block-level</w:t>
      </w:r>
      <w:r>
        <w:t xml:space="preserve"> </w:t>
      </w:r>
      <w:r>
        <w:t xml:space="preserve">versions meet the same boundary is open.</w:t>
      </w:r>
    </w:p>
    <w:bookmarkEnd w:id="60"/>
    <w:bookmarkStart w:id="61"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confirmatory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device, nurse and site metadata make the block analysis possible,</w:t>
      </w:r>
      <w:r>
        <w:t xml:space="preserve"> </w:t>
      </w:r>
      <w:r>
        <w:t xml:space="preserve">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w:t>
      </w:r>
      <w:r>
        <w:t xml:space="preserve"> </w:t>
      </w:r>
      <w:r>
        <w:t xml:space="preserve">Eleven of the twelve dose–response points are synthetic MIT-BIH configurations,</w:t>
      </w:r>
      <w:r>
        <w:t xml:space="preserve"> </w:t>
      </w:r>
      <w:r>
        <w:t xml:space="preserve">so the combined correlation reflects an intervention within one dataset, and</w:t>
      </w:r>
      <w:r>
        <w:t xml:space="preserve"> </w:t>
      </w:r>
      <w:r>
        <w:t xml:space="preserve">PTB-XL, which differs in modality, task and block type, serves only as a</w:t>
      </w:r>
      <w:r>
        <w:t xml:space="preserve"> </w:t>
      </w:r>
      <w:r>
        <w:t xml:space="preserve">prediction check (§5.4). All results concern ECG; temporal dependence within a</w:t>
      </w:r>
      <w:r>
        <w:t xml:space="preserve"> </w:t>
      </w:r>
      <w:r>
        <w:t xml:space="preserve">patient across visits is not addressed, and other clinical signals with repeated</w:t>
      </w:r>
      <w:r>
        <w:t xml:space="preserve"> </w:t>
      </w:r>
      <w:r>
        <w:t xml:space="preserve">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7 and the Spearman</w:t>
      </w:r>
      <w:r>
        <w:t xml:space="preserve"> </w:t>
      </w:r>
      <m:oMath>
        <m:r>
          <m:t>p</m:t>
        </m:r>
      </m:oMath>
      <w:r>
        <w:t xml:space="preserve">-values of Table 7 are conditional on the 22 DS2</w:t>
      </w:r>
      <w:r>
        <w:t xml:space="preserve"> </w:t>
      </w:r>
      <w:r>
        <w:t xml:space="preserve">records and one permutation (§4.4, §6.2). Only the post hoc leave-one-record-out</w:t>
      </w:r>
      <w:r>
        <w:t xml:space="preserve"> </w:t>
      </w:r>
      <w:r>
        <w:t xml:space="preserve">jackknife treats records as the sampling unit, and its intervals include zero in</w:t>
      </w:r>
      <w:r>
        <w:t xml:space="preserve"> </w:t>
      </w:r>
      <w:r>
        <w:t xml:space="preserve">every cell; since each replicate rests on 500 splits, Monte Carlo error inflates</w:t>
      </w:r>
      <w:r>
        <w:t xml:space="preserve"> </w:t>
      </w:r>
      <w:r>
        <w:t xml:space="preserve">its variance somewhat, so those intervals are conservative. No single split or</w:t>
      </w:r>
      <w:r>
        <w:t xml:space="preserve"> </w:t>
      </w:r>
      <w:r>
        <w:t xml:space="preserve">dose–response point shows a deficit: the split-to-split range covers</w:t>
      </w:r>
      <w:r>
        <w:t xml:space="preserve"> </w:t>
      </w:r>
      <m:oMath>
        <m:r>
          <m:t>1</m:t>
        </m:r>
        <m:r>
          <m:rPr>
            <m:sty m:val="p"/>
          </m:rPr>
          <m:t>−</m:t>
        </m:r>
        <m:r>
          <m:t>α</m:t>
        </m:r>
      </m:oMath>
      <w:r>
        <w:t xml:space="preserve"> </w:t>
      </w:r>
      <w:r>
        <w:t xml:space="preserve">in every MIT-BIH cell (Table 5). Two criteria of the initial protocol were</w:t>
      </w:r>
      <w:r>
        <w:t xml:space="preserve"> </w:t>
      </w:r>
      <w:r>
        <w:t xml:space="preserve">dropped,</w:t>
      </w:r>
      <w:r>
        <w:t xml:space="preserve"> </w:t>
      </w:r>
      <w:r>
        <w:t xml:space="preserve">“HCP covers better than split conformal”</w:t>
      </w:r>
      <w:r>
        <w:t xml:space="preserve"> </w:t>
      </w:r>
      <w:r>
        <w:t xml:space="preserve">once the permutation control</w:t>
      </w:r>
      <w:r>
        <w:t xml:space="preserve"> </w:t>
      </w:r>
      <w:r>
        <w:t xml:space="preserve">showed the gap to be largely mechanical (§5.3), and a Spearman test across two</w:t>
      </w:r>
      <w:r>
        <w:t xml:space="preserve"> </w:t>
      </w:r>
      <w:r>
        <w:t xml:space="preserve">datasets, whose rank correlation can only be</w:t>
      </w:r>
      <w:r>
        <w:t xml:space="preserve"> </w:t>
      </w:r>
      <m:oMath>
        <m:r>
          <m:rPr>
            <m:sty m:val="p"/>
          </m:rPr>
          <m:t>±</m:t>
        </m:r>
        <m:r>
          <m:t>1</m:t>
        </m:r>
      </m:oMath>
      <w:r>
        <w:t xml:space="preserve">; these and the unused parts of</w:t>
      </w:r>
      <w:r>
        <w:t xml:space="preserve"> </w:t>
      </w:r>
      <w:r>
        <w:t xml:space="preserve">the initial statistical plan (patient-level bootstrap, a paired permutation test</w:t>
      </w:r>
      <w:r>
        <w:t xml:space="preserve"> </w:t>
      </w:r>
      <w:r>
        <w:t xml:space="preserve">with 10,000 permutations, exact binomial intervals, Cliff’s delta) are listed in</w:t>
      </w:r>
      <w:r>
        <w:t xml:space="preserve"> </w:t>
      </w:r>
      <w:r>
        <w:t xml:space="preserve">the protocol’s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The variance involves the correlation of the coverage indicator, not of the raw</w:t>
      </w:r>
      <w:r>
        <w:t xml:space="preserve"> </w:t>
      </w:r>
      <w:r>
        <w:t xml:space="preserve">score; with the indicator correlation every Spearman coefficient stays positive</w:t>
      </w:r>
      <w:r>
        <w:t xml:space="preserve"> </w:t>
      </w:r>
      <w:r>
        <w:t xml:space="preserve">(Table 7), and PTB-XL’s correlation drops from 0.35 to 0.19–0.20 while its</w:t>
      </w:r>
      <w:r>
        <w:t xml:space="preserve"> </w:t>
      </w:r>
      <w:r>
        <w:t xml:space="preserve">design effect stays near 1. The design effect ranks configurations, but we do not</w:t>
      </w:r>
      <w:r>
        <w:t xml:space="preserve"> </w:t>
      </w:r>
      <w:r>
        <w:t xml:space="preserve">show that it is sufficient for coverage loss. Corollary 2 is proved for HCP only</w:t>
      </w:r>
      <w:r>
        <w:t xml:space="preserve"> </w:t>
      </w:r>
      <w:r>
        <w:t xml:space="preserve">(§3.3), and the hierarchical constructions are not compared with one another</w:t>
      </w:r>
      <w:r>
        <w:t xml:space="preserve"> </w:t>
      </w:r>
      <w:r>
        <w:t xml:space="preserve">[14]. For PTB-XL the verdict is exhaustive only for the declared sources</w:t>
      </w:r>
      <w:r>
        <w:t xml:space="preserve"> </w:t>
      </w:r>
      <w:r>
        <w:t xml:space="preserve">{patient, site, nurse, device}, which the data cannot verify, and the merging of</w:t>
      </w:r>
      <w:r>
        <w:t xml:space="preserve"> </w:t>
      </w:r>
      <w:r>
        <w:t xml:space="preserve">joins into a giant component is known [41]. Declaring only {patient, site} gives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 31 of</w:t>
      </w:r>
      <w:r>
        <w:t xml:space="preserve"> </w:t>
      </w:r>
      <w:r>
        <w:t xml:space="preserve">these blocks consist entirely of 188 records without nurse metadata, and on the</w:t>
      </w:r>
      <w:r>
        <w:t xml:space="preserve"> </w:t>
      </w:r>
      <w:r>
        <w:t xml:space="preserve">1,960 fully annotated records the same declaration gives</w:t>
      </w:r>
      <w:r>
        <w:t xml:space="preserve"> </w:t>
      </w:r>
      <m:oMath>
        <m:sSub>
          <m:e>
            <m:r>
              <m:t>K</m:t>
            </m:r>
          </m:e>
          <m:sub>
            <m:r>
              <m:t>1</m:t>
            </m:r>
          </m:sub>
        </m:sSub>
        <m:r>
          <m:rPr>
            <m:sty m:val="p"/>
          </m:rPr>
          <m:t>=</m:t>
        </m:r>
        <m:r>
          <m:t>3</m:t>
        </m:r>
      </m:oMath>
      <w:r>
        <w:t xml:space="preserve">. The result is</w:t>
      </w:r>
      <w:r>
        <w:t xml:space="preserve"> </w:t>
      </w:r>
      <w:r>
        <w:t xml:space="preserve">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Finally, what ECG networks learn [47] and how well they discriminate</w:t>
      </w:r>
      <w:r>
        <w:t xml:space="preserve"> </w:t>
      </w:r>
      <w:r>
        <w:t xml:space="preserve">[1] are orthogonal to this question: an accurate model calibrated on too few</w:t>
      </w:r>
      <w:r>
        <w:t xml:space="preserve"> </w:t>
      </w:r>
      <w:r>
        <w:t xml:space="preserve">blocks still carries no guarantee.</w:t>
      </w:r>
    </w:p>
    <w:p>
      <w:pPr>
        <w:pStyle w:val="BodyText"/>
        <w:jc w:val="both"/>
      </w:pPr>
      <w:r>
        <w:rPr>
          <w:b/>
          <w:bCs/>
        </w:rPr>
        <w:t xml:space="preserve">Researcher degrees of freedom.</w:t>
      </w:r>
      <w:r>
        <w:t xml:space="preserve"> </w:t>
      </w:r>
      <w:r>
        <w:t xml:space="preserve">Our reading of the MIT-BIH evidence changed</w:t>
      </w:r>
      <w:r>
        <w:t xml:space="preserve"> </w:t>
      </w:r>
      <w:r>
        <w:t xml:space="preserve">three times, each time prompted by an added control rather than by rereading</w:t>
      </w:r>
      <w:r>
        <w:t xml:space="preserve"> </w:t>
      </w:r>
      <w:r>
        <w:t xml:space="preserve">data, and its statistical strength was revised once more (Appendix B). Every</w:t>
      </w:r>
      <w:r>
        <w:t xml:space="preserve"> </w:t>
      </w:r>
      <w:r>
        <w:t xml:space="preserve">analysis introduced or modified after results were seen made the evidence</w:t>
      </w:r>
      <w:r>
        <w:t xml:space="preserve"> </w:t>
      </w:r>
      <w:r>
        <w:t xml:space="preserve">stricter: the permutation control overturned a criterion that favored our</w:t>
      </w:r>
      <w:r>
        <w:t xml:space="preserve"> </w:t>
      </w:r>
      <w:r>
        <w:t xml:space="preserve">hypothesis; the Holm correction, specified in the initial protocol but applied</w:t>
      </w:r>
      <w:r>
        <w:t xml:space="preserve"> </w:t>
      </w:r>
      <w:r>
        <w:t xml:space="preserve">late, removed the last significant level for ResNet1D-34; the reporting axis was</w:t>
      </w:r>
      <w:r>
        <w:t xml:space="preserve"> </w:t>
      </w:r>
      <w:r>
        <w:t xml:space="preserve">chosen after ICC failed to place the two datasets on one scale; and the</w:t>
      </w:r>
      <w:r>
        <w:t xml:space="preserve"> </w:t>
      </w:r>
      <w:r>
        <w:t xml:space="preserve">record-level jackknife, specified and committed before it was run, showed that</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theoretical notes before data collection, but the decision to</w:t>
      </w:r>
      <w:r>
        <w:t xml:space="preserve"> </w:t>
      </w:r>
      <w:r>
        <w:t xml:space="preserve">report on this axis was taken with the results in view. The analysis protocol was</w:t>
      </w:r>
      <w:r>
        <w:t xml:space="preserve"> </w:t>
      </w:r>
      <w:r>
        <w:t xml:space="preserve">kept under version control but not publicly registered or formally frozen; it is</w:t>
      </w:r>
      <w:r>
        <w:t xml:space="preserve"> </w:t>
      </w:r>
      <w:r>
        <w:t xml:space="preserve">released with its deviation log.</w:t>
      </w:r>
    </w:p>
    <w:bookmarkEnd w:id="61"/>
    <w:bookmarkEnd w:id="62"/>
    <w:bookmarkStart w:id="63"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correlation: near-singleton blocks left coverage intact</w:t>
      </w:r>
      <w:r>
        <w:t xml:space="preserve"> </w:t>
      </w:r>
      <w:r>
        <w:t xml:space="preserve">despite substantial correlation, while thousands of beats per subject produced a</w:t>
      </w:r>
      <w:r>
        <w:t xml:space="preserve"> </w:t>
      </w:r>
      <w:r>
        <w:t xml:space="preserve">deficit on the audited subjects that 22 of them were too few to establish for the</w:t>
      </w:r>
      <w:r>
        <w:t xml:space="preserve"> </w:t>
      </w:r>
      <w:r>
        <w:t xml:space="preserve">population. 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whether other</w:t>
      </w:r>
      <w:r>
        <w:t xml:space="preserve"> </w:t>
      </w:r>
      <w:r>
        <w:t xml:space="preserve">block-level procedures face the same boundary is open.</w:t>
      </w:r>
    </w:p>
    <w:bookmarkEnd w:id="63"/>
    <w:bookmarkStart w:id="64" w:name="data-and-code-availability"/>
    <w:p>
      <w:pPr>
        <w:pStyle w:val="Heading1"/>
      </w:pPr>
      <w:r>
        <w:t xml:space="preserve">Data and Code Availability</w:t>
      </w:r>
    </w:p>
    <w:p>
      <w:pPr>
        <w:pStyle w:val="FirstParagraph"/>
        <w:jc w:val="both"/>
      </w:pPr>
      <w:r>
        <w:t xml:space="preserve">PTB-XL (version 1.0.3) [15], the MIT-BIH Arrhythmia Database [16] and the</w:t>
      </w:r>
      <w:r>
        <w:t xml:space="preserve"> </w:t>
      </w:r>
      <w:r>
        <w:t xml:space="preserve">PhysioNet/CinC Challenge 2021 collection (version 1.0.3) [17]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4"/>
    <w:bookmarkStart w:id="68" w:name="appendix-a.-supplementary-derivations"/>
    <w:p>
      <w:pPr>
        <w:pStyle w:val="Heading1"/>
      </w:pPr>
      <w:r>
        <w:t xml:space="preserve">Appendix A. Supplementary Derivations</w:t>
      </w:r>
    </w:p>
    <w:bookmarkStart w:id="65"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5"/>
    <w:bookmarkStart w:id="66"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6"/>
    <w:bookmarkStart w:id="67"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loses efficiency when cluster sizes vary</w:t>
      </w:r>
      <w:r>
        <w:t xml:space="preserve"> </w:t>
      </w:r>
      <w:r>
        <w:t xml:space="preserve">[38], [39]. In HCP it cannot be replaced, so the practitioner is tied to the</w:t>
      </w:r>
      <w:r>
        <w:t xml:space="preserve"> </w:t>
      </w:r>
      <w:r>
        <w:t xml:space="preserve">estimator that cluster-sampling theory regards as most sensitive to block</w:t>
      </w:r>
      <w:r>
        <w:t xml:space="preserve"> </w:t>
      </w:r>
      <w:r>
        <w:t xml:space="preserve">imbalance, without the standard remedy.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67"/>
    <w:bookmarkEnd w:id="68"/>
    <w:bookmarkStart w:id="69"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69"/>
    <w:bookmarkStart w:id="70"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[17]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[13];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0"/>
    <w:bookmarkStart w:id="71"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[9]</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[10]</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[11]</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[12]</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[13]</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[14]</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[15]</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[16]</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[17]</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[18]</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[19]</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[20]</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[21]</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[22]</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[23]</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[26]</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[27]</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[28]</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[29]</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[30]</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[31]</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[32]</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[33]</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[34]</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[35]</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[36]</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[37]</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[38]</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[39]</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[40]</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[41]</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[42]</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[43]</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Pr>
          <w:i/>
          <w:iCs/>
        </w:rPr>
      </w:r>
      <w:r/>
      <w:r>
        <w:rPr>
          <w:sz w:val="18"/>
        </w:rPr>
        <w:t>[44]</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[45]</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[46]</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[47]</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9" Type="http://schemas.openxmlformats.org/officeDocument/2006/relationships/image" Target="media/rId19.png"/><Relationship Id="rId25" Type="http://schemas.openxmlformats.org/officeDocument/2006/relationships/image" Target="media/rId25.png"/><Relationship Id="rId34" Type="http://schemas.openxmlformats.org/officeDocument/2006/relationships/image" Target="media/rId34.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2026-10-03T14:33:13Z</dcterms:created>
  <dcterms:modified xsi:type="dcterms:W3CDTF">2026-10-03T14:33:13Z</dcterms:modified>
</cp:coreProperties>
</file>

<file path=docProps/custom.xml><?xml version="1.0" encoding="utf-8"?>
<Properties xmlns="http://schemas.openxmlformats.org/officeDocument/2006/custom-properties" xmlns:vt="http://schemas.openxmlformats.org/officeDocument/2006/docPropsVTypes"/>
</file>