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39799d2.</w:t>
      </w:r>
    </w:p>
    <w:p>
      <w:pPr>
        <w:pStyle w:val="BodyText"/>
        <w:jc w:val="both"/>
      </w:pPr>
      <w:r>
        <w:rPr>
          <w:b/>
          <w:bCs/>
          <w:sz w:val="19"/>
        </w:rPr>
        <w:t xml:space="preserve">Abstract—</w:t>
      </w:r>
      <w:r>
        <w:rPr>
          <w:b/>
          <w:sz w:val="19"/>
        </w:rPr>
        <w:t xml:space="preserve">Conformal prediction offers finite-sample coverage guarantees for clinical classifiers, but only if calibration and test data are exchangeable — an assumption that repeated recordings, segments and beats from the same patient violate. Hierarchical conformal prediction restores a guarantee by calibrating over blocks, yet its threshold is finite only when the target error rate is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where</w:t>
      </w:r>
      <w:r>
        <w:rPr>
          <w:b/>
          <w:sz w:val="19"/>
        </w:rPr>
        <w:t xml:space="preserve"> </w:t>
      </w:r>
      <m:oMath>
        <m:sSub>
          <m:e>
            <m:r>
              <m:t>K</m:t>
            </m:r>
          </m:e>
          <m:sub>
            <m:r>
              <m:t>1</m:t>
            </m:r>
          </m:sub>
        </m:sSub>
      </m:oMath>
      <w:r>
        <w:rPr>
          <w:b/>
          <w:sz w:val="19"/>
        </w:rPr>
        <w:t xml:space="preserve"> </w:t>
      </w:r>
      <w:r>
        <w:rPr>
          <w:b/>
          <w:sz w:val="19"/>
        </w:rPr>
        <w:t xml:space="preserve">is the number of calibration blocks. We audit when this guarantee can be enforced, and when ignoring blocks actually costs coverage, on three public electrocardiogram resources. From metadata alone, before any model is trained, declaring all four documented dependence sources in PTB-XL collapses every admissible calibration grouping to a single block, and 24 of 44 diagnostic statements admit no finite per-label threshold at</w:t>
      </w:r>
      <w:r>
        <w:rPr>
          <w:b/>
          <w:sz w:val="19"/>
        </w:rPr>
        <w:t xml:space="preserve"> </w:t>
      </w:r>
      <m:oMath>
        <m:r>
          <m:t>α</m:t>
        </m:r>
        <m:r>
          <m:rPr>
            <m:sty m:val="p"/>
          </m:rPr>
          <m:t>=</m:t>
        </m:r>
        <m:r>
          <m:t>0.05</m:t>
        </m:r>
      </m:oMath>
      <w:r>
        <w:rPr>
          <w:b/>
          <w:sz w:val="19"/>
        </w:rPr>
        <w:t xml:space="preserve"> </w:t>
      </w:r>
      <w:r>
        <w:rPr>
          <w:b/>
          <w:sz w:val="19"/>
        </w:rPr>
        <w:t xml:space="preserve">under patient blocking. On MIT-BIH, naive split conformal under-covers relative to a matched permutation null by 1.5–2.4 percentage points; a factorial design attributes the deficit to clustering rather than to unequal block sizes, and in a controlled dose–response experiment it increases with the design effect (Spearman 0.80–0.85). PTB-XL shows no deficit despite a within-patient correlation of 0.35, because most patients contribute a single recording. The apparent advantage of hierarchical over naive calibration persists at 75–110% of its size when dependence is removed, and is therefore largely mechanical. Directions hold across three backbones spanning a hundredfold range of capacity and across checkpoints; one backbone fails the pre-registered significance criterion, and we report it. Counting blocks, not records, should precede any claim of distribution-free coverage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Deep networks for electrocardiogram (ECG) interpretation are now routinely</w:t>
      </w:r>
      <w:r>
        <w:t xml:space="preserve"> </w:t>
      </w:r>
      <w:r>
        <w:t xml:space="preserve">benchmarked on large public datasets [1], [2], yet a calibrated statement of</w:t>
      </w:r>
      <w:r>
        <w:t xml:space="preserve"> </w:t>
      </w:r>
      <w:r>
        <w:t xml:space="preserve">uncertainty is widely regarded as a prerequisite for their clinical use. Reviews</w:t>
      </w:r>
      <w:r>
        <w:t xml:space="preserve"> </w:t>
      </w:r>
      <w:r>
        <w:t xml:space="preserve">of uncertainty quantification in clinical deep learning [3] and the FUTURE-AI</w:t>
      </w:r>
      <w:r>
        <w:t xml:space="preserve"> </w:t>
      </w:r>
      <w:r>
        <w:t xml:space="preserve">consensus guideline [4] both make this point. Conformal prediction is attractive</w:t>
      </w:r>
      <w:r>
        <w:t xml:space="preserve"> </w:t>
      </w:r>
      <w:r>
        <w:t xml:space="preserve">in this setting because it converts any trained classifier into a set-valued</w:t>
      </w:r>
      <w:r>
        <w:t xml:space="preserve"> </w:t>
      </w:r>
      <w:r>
        <w:t xml:space="preserve">predictor whose coverage holds in finite samples without distributional</w:t>
      </w:r>
      <w:r>
        <w:t xml:space="preserve"> </w:t>
      </w:r>
      <w:r>
        <w:t xml:space="preserve">assumptions [5], and it has been applied across clinical domains [6]–[7],</w:t>
      </w:r>
      <w:r>
        <w:t xml:space="preserve"> </w:t>
      </w:r>
      <w:r>
        <w:t xml:space="preserve">including recent work on ECG and related cardiac signals that examines</w:t>
      </w:r>
      <w:r>
        <w:t xml:space="preserve"> </w:t>
      </w:r>
      <w:r>
        <w:t xml:space="preserve">class-conditional calibration under quantized deployment [8], adaptive</w:t>
      </w:r>
      <w:r>
        <w:t xml:space="preserve"> </w:t>
      </w:r>
      <w:r>
        <w:t xml:space="preserve">inference on wearables [9], reliability under class imbalance and patient</w:t>
      </w:r>
      <w:r>
        <w:t xml:space="preserve"> </w:t>
      </w:r>
      <w:r>
        <w:t xml:space="preserve">heterogeneity [10], and false-alarm control in monitoring [11].</w:t>
      </w:r>
    </w:p>
    <w:p>
      <w:pPr>
        <w:pStyle w:val="BodyText"/>
        <w:jc w:val="both"/>
      </w:pPr>
      <w:r>
        <w:t xml:space="preserve">That guarantee rests on a single assumption: calibration and test observations</w:t>
      </w:r>
      <w:r>
        <w:t xml:space="preserve"> </w:t>
      </w:r>
      <w:r>
        <w:t xml:space="preserve">are exchangeable. Clinical ECG data rarely satisfy it. A patient contributes</w:t>
      </w:r>
      <w:r>
        <w:t xml:space="preserve"> </w:t>
      </w:r>
      <w:r>
        <w:t xml:space="preserve">several recordings; a Holter episode is cut into many segments; a single</w:t>
      </w:r>
      <w:r>
        <w:t xml:space="preserve"> </w:t>
      </w:r>
      <w:r>
        <w:t xml:space="preserve">recording yields thousands of beats; devices, sites and operators are shared</w:t>
      </w:r>
      <w:r>
        <w:t xml:space="preserve"> </w:t>
      </w:r>
      <w:r>
        <w:t xml:space="preserve">across patients. Observations within such a block are more alike than</w:t>
      </w:r>
      <w:r>
        <w:t xml:space="preserve"> </w:t>
      </w:r>
      <w:r>
        <w:t xml:space="preserve">observations across blocks. Exchangeability can fail in many ways, and the size</w:t>
      </w:r>
      <w:r>
        <w:t xml:space="preserve"> </w:t>
      </w:r>
      <w:r>
        <w:t xml:space="preserve">of the resulting coverage gap is bounded in general terms [12]. For the specific</w:t>
      </w:r>
      <w:r>
        <w:t xml:space="preserve"> </w:t>
      </w:r>
      <w:r>
        <w:t xml:space="preserve">case of grouped or repeated measurements, Lee et al. have derived a hierarchical</w:t>
      </w:r>
      <w:r>
        <w:t xml:space="preserve"> </w:t>
      </w:r>
      <w:r>
        <w:t xml:space="preserve">form of exchangeability and a hierarchical conformal prediction (HCP) procedure</w:t>
      </w:r>
      <w:r>
        <w:t xml:space="preserve"> </w:t>
      </w:r>
      <w:r>
        <w:t xml:space="preserve">that restores a finite-sample guarantee by calibrating at the level of blocks</w:t>
      </w:r>
      <w:r>
        <w:t xml:space="preserve"> </w:t>
      </w:r>
      <w:r>
        <w:t xml:space="preserve">rather than observations [13]; related constructions for two-layer hierarchical</w:t>
      </w:r>
      <w:r>
        <w:t xml:space="preserve"> </w:t>
      </w:r>
      <w:r>
        <w:t xml:space="preserve">models are given by Dunn et al. [14].</w:t>
      </w:r>
    </w:p>
    <w:p>
      <w:pPr>
        <w:pStyle w:val="BodyText"/>
        <w:jc w:val="both"/>
      </w:pPr>
      <w:r>
        <w:t xml:space="preserve">Although hierarchical conformal inference provides a formal remedy for grouped</w:t>
      </w:r>
      <w:r>
        <w:t xml:space="preserve"> </w:t>
      </w:r>
      <w:r>
        <w:t xml:space="preserve">dependence, the feasibility of that remedy under the heterogeneous and crossed</w:t>
      </w:r>
      <w:r>
        <w:t xml:space="preserve"> </w:t>
      </w:r>
      <w:r>
        <w:t xml:space="preserve">dependence structures of real clinical ECG resources has received comparatively</w:t>
      </w:r>
      <w:r>
        <w:t xml:space="preserve"> </w:t>
      </w:r>
      <w:r>
        <w:t xml:space="preserve">little empirical examination. HCP assigns each calibration</w:t>
      </w:r>
      <w:r>
        <w:t xml:space="preserve"> </w:t>
      </w:r>
      <w:r>
        <w:t xml:space="preserve">block equal mass and places a further atom at</w:t>
      </w:r>
      <w:r>
        <w:t xml:space="preserve"> </w:t>
      </w:r>
      <m:oMath>
        <m:r>
          <m:rPr>
            <m:sty m:val="p"/>
          </m:rPr>
          <m:t>+</m:t>
        </m:r>
        <m:r>
          <m:rPr>
            <m:sty m:val="p"/>
          </m:rPr>
          <m:t>∞</m:t>
        </m:r>
      </m:oMath>
      <w:r>
        <w:t xml:space="preserve">, so its threshold is</w:t>
      </w:r>
      <w:r>
        <w:t xml:space="preserve"> </w:t>
      </w:r>
      <w:r>
        <w:t xml:space="preserve">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is the number of calibration blocks. Large clinical datasets can have few</w:t>
      </w:r>
      <w:r>
        <w:t xml:space="preserve"> </w:t>
      </w:r>
      <w:r>
        <w:t xml:space="preserve">blocks once every dependence source is respected, and fewer still for rare</w:t>
      </w:r>
      <w:r>
        <w:t xml:space="preserve"> </w:t>
      </w:r>
      <w:r>
        <w:t xml:space="preserve">diagnoses. At the same time, it is not obvious when ignoring block structure</w:t>
      </w:r>
      <w:r>
        <w:t xml:space="preserve"> </w:t>
      </w:r>
      <w:r>
        <w:t xml:space="preserve">actually costs coverage: a dataset in which most patients contribute a single</w:t>
      </w:r>
      <w:r>
        <w:t xml:space="preserve"> </w:t>
      </w:r>
      <w:r>
        <w:t xml:space="preserve">recording may be harmless even if the few repeated recordings are strongly</w:t>
      </w:r>
      <w:r>
        <w:t xml:space="preserve"> </w:t>
      </w:r>
      <w:r>
        <w:t xml:space="preserve">correlated. The authors of [13] identify the trade-off between many small and</w:t>
      </w:r>
      <w:r>
        <w:t xml:space="preserve"> </w:t>
      </w:r>
      <w:r>
        <w:t xml:space="preserve">few large groups as an open question for study design. In ECG monitoring, Sim</w:t>
      </w:r>
      <w:r>
        <w:t xml:space="preserve"> </w:t>
      </w:r>
      <w:r>
        <w:t xml:space="preserve">and Kim have recently shown that the finite-sample false-alarm bound of split</w:t>
      </w:r>
      <w:r>
        <w:t xml:space="preserve"> </w:t>
      </w:r>
      <w:r>
        <w:t xml:space="preserve">conformal prediction counts subjects rather than beats, and that calibration on</w:t>
      </w:r>
      <w:r>
        <w:t xml:space="preserve"> </w:t>
      </w:r>
      <w:r>
        <w:t xml:space="preserve">too few subjects inflates the realized false-alarm rate [11]. We study the</w:t>
      </w:r>
      <w:r>
        <w:t xml:space="preserve"> </w:t>
      </w:r>
      <w:r>
        <w:t xml:space="preserve">corresponding design-stage question for block-level coverage: whether the</w:t>
      </w:r>
      <w:r>
        <w:t xml:space="preserve"> </w:t>
      </w:r>
      <w:r>
        <w:t xml:space="preserve">intended guarantee is feasible at all once the dependence structure actually</w:t>
      </w:r>
      <w:r>
        <w:t xml:space="preserve"> </w:t>
      </w:r>
      <w:r>
        <w:t xml:space="preserve">present in a dataset is accounted for, and when ignoring that structure costs</w:t>
      </w:r>
      <w:r>
        <w:t xml:space="preserve"> </w:t>
      </w:r>
      <w:r>
        <w:t xml:space="preserve">coverage.</w:t>
      </w:r>
    </w:p>
    <w:p>
      <w:pPr>
        <w:pStyle w:val="BodyText"/>
        <w:jc w:val="both"/>
      </w:pPr>
      <w:r>
        <w:t xml:space="preserve">This paper reports an empirical audit of block-level conformal calibration on</w:t>
      </w:r>
      <w:r>
        <w:t xml:space="preserve"> </w:t>
      </w:r>
      <w:r>
        <w:t xml:space="preserve">three public ECG resources: PTB-XL [2], [15], the MIT-BIH Arrhythmia Database</w:t>
      </w:r>
      <w:r>
        <w:t xml:space="preserve"> </w:t>
      </w:r>
      <w:r>
        <w:t xml:space="preserve">[16], and the PhysioNet/CinC Challenge 2021 collection [17]. The datasets were</w:t>
      </w:r>
      <w:r>
        <w:t xml:space="preserve"> </w:t>
      </w:r>
      <w:r>
        <w:t xml:space="preserve">chosen to occupy opposite ends of the space of block geometries — PTB-XL with</w:t>
      </w:r>
      <w:r>
        <w:t xml:space="preserve"> </w:t>
      </w:r>
      <w:r>
        <w:t xml:space="preserve">18,869 patients averaging 1.16 records each, MIT-BIH with 44 subjects</w:t>
      </w:r>
      <w:r>
        <w:t xml:space="preserve"> </w:t>
      </w:r>
      <w:r>
        <w:t xml:space="preserve">contributing more than 1,500 beats each — and, in the case of Challenge 2021, to</w:t>
      </w:r>
      <w:r>
        <w:t xml:space="preserve"> </w:t>
      </w:r>
      <w:r>
        <w:t xml:space="preserve">provide a resource in which the block identifier is not documented at all. We</w:t>
      </w:r>
      <w:r>
        <w:t xml:space="preserve"> </w:t>
      </w:r>
      <w:r>
        <w:t xml:space="preserve">introduce no new conformal procedure. The contributions are the following.</w:t>
      </w:r>
    </w:p>
    <w:p>
      <w:pPr>
        <w:pStyle w:val="Compact"/>
        <w:numPr>
          <w:ilvl w:val="0"/>
          <w:numId w:val="1001"/>
        </w:numPr>
      </w:pPr>
      <w:r>
        <w:t xml:space="preserve">A metadata-only feasibility audit (§5, §8.1). Combining the HCP</w:t>
      </w:r>
      <w:r>
        <w:t xml:space="preserve"> </w:t>
      </w:r>
      <w:r>
        <w:t xml:space="preserve">feasibility bound with the join of declared dependence sources yields exact</w:t>
      </w:r>
      <w:r>
        <w:t xml:space="preserve"> </w:t>
      </w:r>
      <w:r>
        <w:t xml:space="preserve">feasibility calculations, conditional on the sources declared, before any</w:t>
      </w:r>
      <w:r>
        <w:t xml:space="preserve"> </w:t>
      </w:r>
      <w:r>
        <w:t xml:space="preserve">patient is enrolled. On PTB-XL, declaring all four documented sources</w:t>
      </w:r>
      <w:r>
        <w:t xml:space="preserve"> </w:t>
      </w:r>
      <w:r>
        <w:t xml:space="preserve">collapses every admissible calibration grouping to a single block, and 24 of</w:t>
      </w:r>
      <w:r>
        <w:t xml:space="preserve"> </w:t>
      </w:r>
      <w:r>
        <w:t xml:space="preserve">44 SCP diagnostic statements cannot receive a finite per-label threshold at</w:t>
      </w:r>
      <w:r>
        <w:t xml:space="preserve"> </w:t>
      </w:r>
      <m:oMath>
        <m:r>
          <m:t>α</m:t>
        </m:r>
        <m:r>
          <m:rPr>
            <m:sty m:val="p"/>
          </m:rPr>
          <m:t>=</m:t>
        </m:r>
        <m:r>
          <m:t>0.05</m:t>
        </m:r>
      </m:oMath>
      <w:r>
        <w:t xml:space="preserve"> </w:t>
      </w:r>
      <w:r>
        <w:t xml:space="preserve">under patient blocking alone. On MIT-BIH, dividing the 22</w:t>
      </w:r>
      <w:r>
        <w:t xml:space="preserve"> </w:t>
      </w:r>
      <w:r>
        <w:t xml:space="preserve">evaluation subjects of the canonical inter-patient partition evenly between</w:t>
      </w:r>
      <w:r>
        <w:t xml:space="preserve"> </w:t>
      </w:r>
      <w:r>
        <w:t xml:space="preserve">calibration and test cannot support a subject-level guarantee at the 95% level.</w:t>
      </w:r>
    </w:p>
    <w:p>
      <w:pPr>
        <w:pStyle w:val="Compact"/>
        <w:numPr>
          <w:ilvl w:val="0"/>
          <w:numId w:val="1001"/>
        </w:numPr>
      </w:pPr>
      <w:r>
        <w:t xml:space="preserve">Evidence that block dependence, not block imbalance, drives under-coverage,</w:t>
      </w:r>
      <w:r>
        <w:t xml:space="preserve"> </w:t>
      </w:r>
      <w:r>
        <w:t xml:space="preserve">and that it does so through repetition (§8.2–§8.4). Naive split conformal</w:t>
      </w:r>
      <w:r>
        <w:t xml:space="preserve"> </w:t>
      </w:r>
      <w:r>
        <w:t xml:space="preserve">under-covers on MIT-BIH relative to a matched permutation null; a factorial</w:t>
      </w:r>
      <w:r>
        <w:t xml:space="preserve"> </w:t>
      </w:r>
      <w:r>
        <w:t xml:space="preserve">design attributes the deficit to clustering rather than to unequal block</w:t>
      </w:r>
      <w:r>
        <w:t xml:space="preserve"> </w:t>
      </w:r>
      <w:r>
        <w:t xml:space="preserve">sizes; and in a controlled dose–response experiment within MIT-BIH the deficit</w:t>
      </w:r>
      <w:r>
        <w:t xml:space="preserve"> </w:t>
      </w:r>
      <w:r>
        <w:t xml:space="preserve">increases with the design effect, while PTB-XL falls where the design effect</w:t>
      </w:r>
      <w:r>
        <w:t xml:space="preserve"> </w:t>
      </w:r>
      <w:r>
        <w:t xml:space="preserve">predicts — near zero — despite a substantial within-patient correlation.</w:t>
      </w:r>
    </w:p>
    <w:p>
      <w:pPr>
        <w:pStyle w:val="Compact"/>
        <w:numPr>
          <w:ilvl w:val="0"/>
          <w:numId w:val="1001"/>
        </w:numPr>
      </w:pPr>
      <w:r>
        <w:t xml:space="preserve">A caution for evaluating hierarchical conformal methods (§8.3, §9.3). The</w:t>
      </w:r>
      <w:r>
        <w:t xml:space="preserve"> </w:t>
      </w:r>
      <w:r>
        <w:t xml:space="preserve">apparent improvement of HCP over naive split conformal persists at 75–110% of</w:t>
      </w:r>
      <w:r>
        <w:t xml:space="preserve"> </w:t>
      </w:r>
      <w:r>
        <w:t xml:space="preserve">its size when within-block dependence is removed by permutation, so it is</w:t>
      </w:r>
      <w:r>
        <w:t xml:space="preserve"> </w:t>
      </w:r>
      <w:r>
        <w:t xml:space="preserve">largely mechanical. We recommend matched permutation nulls and joint reporting</w:t>
      </w:r>
      <w:r>
        <w:t xml:space="preserve"> </w:t>
      </w:r>
      <w:r>
        <w:t xml:space="preserve">of set size.</w:t>
      </w:r>
    </w:p>
    <w:p>
      <w:pPr>
        <w:pStyle w:val="Compact"/>
        <w:numPr>
          <w:ilvl w:val="0"/>
          <w:numId w:val="1001"/>
        </w:numPr>
      </w:pPr>
      <w:r>
        <w:t xml:space="preserve">Pre-registered robustness checks reported in full (§8.5, §10). The direction</w:t>
      </w:r>
      <w:r>
        <w:t xml:space="preserve"> </w:t>
      </w:r>
      <w:r>
        <w:t xml:space="preserve">of every finding holds across three backbones spanning a more than hundredfold</w:t>
      </w:r>
      <w:r>
        <w:t xml:space="preserve"> </w:t>
      </w:r>
      <w:r>
        <w:t xml:space="preserve">range of parameters and across checkpoints. Its statistical strength does not:</w:t>
      </w:r>
      <w:r>
        <w:t xml:space="preserve"> </w:t>
      </w:r>
      <w:r>
        <w:t xml:space="preserve">one of three backbones fails the pre-registered significance criterion, and we</w:t>
      </w:r>
      <w:r>
        <w:t xml:space="preserve"> </w:t>
      </w:r>
      <w:r>
        <w:t xml:space="preserve">report that failure.</w:t>
      </w:r>
    </w:p>
    <w:p>
      <w:pPr>
        <w:pStyle w:val="FirstParagraph"/>
        <w:jc w:val="both"/>
      </w:pPr>
      <w:r>
        <w:t xml:space="preserve">All analyses use block-level resampling, a held-out PTB-XL fold that was never</w:t>
      </w:r>
      <w:r>
        <w:t xml:space="preserve"> </w:t>
      </w:r>
      <w:r>
        <w:t xml:space="preserve">examined, and a protocol whose deviations are logged. Code and per-result</w:t>
      </w:r>
      <w:r>
        <w:t xml:space="preserve"> </w:t>
      </w:r>
      <w:r>
        <w:t xml:space="preserve">artifacts are released with the paper.</w:t>
      </w:r>
    </w:p>
    <w:p>
      <w:pPr>
        <w:pStyle w:val="BodyText"/>
        <w:jc w:val="both"/>
      </w:pPr>
      <w:r>
        <w:t xml:space="preserve">The paper is organized as follows. Section 2 reviews related work. Sections 3</w:t>
      </w:r>
      <w:r>
        <w:t xml:space="preserve"> </w:t>
      </w:r>
      <w:r>
        <w:t xml:space="preserve">and 4 fix notation and state the feasibility problem. Section 5 describes the</w:t>
      </w:r>
      <w:r>
        <w:t xml:space="preserve"> </w:t>
      </w:r>
      <w:r>
        <w:t xml:space="preserve">audit diagnostics, Sections 6 and 7 the data and setup, and Section 8 the</w:t>
      </w:r>
      <w:r>
        <w:t xml:space="preserve"> </w:t>
      </w:r>
      <w:r>
        <w:t xml:space="preserve">results. Section 9 discusses their implications, Section 10 the threats to their</w:t>
      </w:r>
      <w:r>
        <w:t xml:space="preserve"> </w:t>
      </w:r>
      <w:r>
        <w:t xml:space="preserve">validity, and Section 11 concludes.</w:t>
      </w:r>
    </w:p>
    <w:bookmarkEnd w:id="9"/>
    <w:bookmarkStart w:id="14" w:name="related-work"/>
    <w:p>
      <w:pPr>
        <w:pStyle w:val="Heading1"/>
      </w:pPr>
      <w:r>
        <w:t xml:space="preserve">2. Related Work</w:t>
      </w:r>
    </w:p>
    <w:bookmarkStart w:id="10" w:name="Xd4e2d48d8a985b42ffe14f432ed2e7b6a511dfc"/>
    <w:p>
      <w:pPr>
        <w:pStyle w:val="Heading2"/>
      </w:pPr>
      <w:r>
        <w:t xml:space="preserve">2.1 Conformal prediction under violations of exchangeability</w:t>
      </w:r>
    </w:p>
    <w:p>
      <w:pPr>
        <w:pStyle w:val="FirstParagraph"/>
        <w:jc w:val="both"/>
      </w:pPr>
      <w:r>
        <w:t xml:space="preserve">Split conformal prediction attains finite-sample marginal coverage under a single</w:t>
      </w:r>
      <w:r>
        <w:t xml:space="preserve"> </w:t>
      </w:r>
      <w:r>
        <w:t xml:space="preserve">assumption: that calibration and test points are exchangeable. Barber et al. [12]</w:t>
      </w:r>
      <w:r>
        <w:t xml:space="preserve"> </w:t>
      </w:r>
      <w:r>
        <w:t xml:space="preserve">give the sharpest available account of what happens when that assumption fails,</w:t>
      </w:r>
      <w:r>
        <w:t xml:space="preserve"> </w:t>
      </w:r>
      <w:r>
        <w:t xml:space="preserve">bounding the coverage gap by the total-variation distance between the observed</w:t>
      </w:r>
      <w:r>
        <w:t xml:space="preserve"> </w:t>
      </w:r>
      <w:r>
        <w:t xml:space="preserve">data distribution and its exchangeable counterpart. Their analysis is agnostic to</w:t>
      </w:r>
      <w:r>
        <w:t xml:space="preserve"> </w:t>
      </w:r>
      <w:r>
        <w:rPr>
          <w:i/>
          <w:iCs/>
        </w:rPr>
        <w:t xml:space="preserve">why</w:t>
      </w:r>
      <w:r>
        <w:t xml:space="preserve"> </w:t>
      </w:r>
      <w:r>
        <w:t xml:space="preserve">exchangeability fails, which makes it broadly applicable but leaves the</w:t>
      </w:r>
      <w:r>
        <w:t xml:space="preserve"> </w:t>
      </w:r>
      <w:r>
        <w:t xml:space="preserve">practitioner without a constructive remedy for any particular violation.</w:t>
      </w:r>
    </w:p>
    <w:p>
      <w:pPr>
        <w:pStyle w:val="BodyText"/>
        <w:jc w:val="both"/>
      </w:pPr>
      <w:r>
        <w:t xml:space="preserve">A complementary line of work treats specific, structured departures. Weighted</w:t>
      </w:r>
      <w:r>
        <w:t xml:space="preserve"> </w:t>
      </w:r>
      <w:r>
        <w:t xml:space="preserve">conformal prediction handles covariate shift when likelihood ratios are known or</w:t>
      </w:r>
      <w:r>
        <w:t xml:space="preserve"> </w:t>
      </w:r>
      <w:r>
        <w:t xml:space="preserve">estimable [18]; spatially indexed data are addressed in [19]; network dependence</w:t>
      </w:r>
      <w:r>
        <w:t xml:space="preserve"> </w:t>
      </w:r>
      <w:r>
        <w:t xml:space="preserve">in [20]. Bhattacharyya and Barber [21] consider observations belonging to a finite</w:t>
      </w:r>
      <w:r>
        <w:t xml:space="preserve"> </w:t>
      </w:r>
      <w:r>
        <w:t xml:space="preserve">number of groups where</w:t>
      </w:r>
      <w:r>
        <w:t xml:space="preserve"> </w:t>
      </w:r>
      <w:r>
        <w:rPr>
          <w:i/>
          <w:iCs/>
        </w:rPr>
        <w:t xml:space="preserve">group membership determines the covariate shift</w:t>
      </w:r>
      <w:r>
        <w:t xml:space="preserve"> </w:t>
      </w:r>
      <w:r>
        <w:t xml:space="preserve">between</w:t>
      </w:r>
      <w:r>
        <w:t xml:space="preserve"> </w:t>
      </w:r>
      <w:r>
        <w:t xml:space="preserve">training and test distributions — for instance under stratified sampling.</w:t>
      </w:r>
    </w:p>
    <w:p>
      <w:pPr>
        <w:pStyle w:val="BodyText"/>
        <w:jc w:val="both"/>
      </w:pPr>
      <w:r>
        <w:t xml:space="preserve">In [21] the data remain exchangeable</w:t>
      </w:r>
      <w:r>
        <w:t xml:space="preserve"> </w:t>
      </w:r>
      <w:r>
        <w:rPr>
          <w:i/>
          <w:iCs/>
        </w:rPr>
        <w:t xml:space="preserve">within</w:t>
      </w:r>
      <w:r>
        <w:t xml:space="preserve"> </w:t>
      </w:r>
      <w:r>
        <w:t xml:space="preserve">each group; what shifts is the</w:t>
      </w:r>
      <w:r>
        <w:t xml:space="preserve"> </w:t>
      </w:r>
      <w:r>
        <w:t xml:space="preserve">mixture over groups. The setting we study is the opposite: the group proportions</w:t>
      </w:r>
      <w:r>
        <w:t xml:space="preserve"> </w:t>
      </w:r>
      <w:r>
        <w:t xml:space="preserve">are stable, but observations within a block are not exchangeable with one</w:t>
      </w:r>
      <w:r>
        <w:t xml:space="preserve"> </w:t>
      </w:r>
      <w:r>
        <w:t xml:space="preserve">another. The vocabulary collides; the problems do not.</w:t>
      </w:r>
    </w:p>
    <w:p>
      <w:pPr>
        <w:pStyle w:val="BodyText"/>
        <w:jc w:val="both"/>
      </w:pPr>
      <w:r>
        <w:t xml:space="preserve">Fontana et al. [5] provide the standard unified treatment of the conformal</w:t>
      </w:r>
      <w:r>
        <w:t xml:space="preserve"> </w:t>
      </w:r>
      <w:r>
        <w:t xml:space="preserve">framework and its variants, including the Mondrian (class-conditional)</w:t>
      </w:r>
      <w:r>
        <w:t xml:space="preserve"> </w:t>
      </w:r>
      <w:r>
        <w:t xml:space="preserve">construction of which we use a calibrated variant [22] as a baseline.</w:t>
      </w:r>
    </w:p>
    <w:bookmarkEnd w:id="10"/>
    <w:bookmarkStart w:id="11" w:name="X3c9268f705d9cf50350c495bae4c77b44726b79"/>
    <w:p>
      <w:pPr>
        <w:pStyle w:val="Heading2"/>
      </w:pPr>
      <w:r>
        <w:t xml:space="preserve">2.2 Conformal prediction for hierarchical data</w:t>
      </w:r>
    </w:p>
    <w:p>
      <w:pPr>
        <w:pStyle w:val="FirstParagraph"/>
        <w:jc w:val="both"/>
      </w:pPr>
      <w:r>
        <w:rPr>
          <w:b/>
          <w:bCs/>
        </w:rPr>
        <w:t xml:space="preserve">The hierarchical exchangeability problem is solved, and not by us.</w:t>
      </w:r>
      <w:r>
        <w:t xml:space="preserve"> </w:t>
      </w:r>
      <w:r>
        <w:t xml:space="preserve">Lee, Barber</w:t>
      </w:r>
      <w:r>
        <w:t xml:space="preserve"> </w:t>
      </w:r>
      <w:r>
        <w:t xml:space="preserve">and Willett [13] derive a hierarchical form of exchangeability for data organized</w:t>
      </w:r>
      <w:r>
        <w:t xml:space="preserve"> </w:t>
      </w:r>
      <w:r>
        <w:t xml:space="preserve">into groups of repeated measurements, and extend both conformal prediction and</w:t>
      </w:r>
      <w:r>
        <w:t xml:space="preserve"> </w:t>
      </w:r>
      <w:r>
        <w:t xml:space="preserve">jackknife+ [23] to that setting. Their Theorem 1 gives the hierarchical conformal</w:t>
      </w:r>
      <w:r>
        <w:t xml:space="preserve"> </w:t>
      </w:r>
      <w:r>
        <w:t xml:space="preserve">prediction (HCP) threshold</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n"/>
                </m:naryPr>
                <m:sub>
                  <m:r>
                    <m:t>k</m:t>
                  </m:r>
                </m:sub>
                <m:sup>
                  <m:r>
                    <m:t>​</m:t>
                  </m:r>
                </m:sup>
                <m:e>
                  <m:nary>
                    <m:naryPr>
                      <m:chr m:val="∑"/>
                      <m:limLoc m:val="undOvr"/>
                      <m:subHide m:val="off"/>
                      <m:supHide m:val="on"/>
                    </m:naryPr>
                    <m:sub>
                      <m:r>
                        <m:t>i</m:t>
                      </m:r>
                    </m:sub>
                    <m:sup>
                      <m:r>
                        <m:t>​</m:t>
                      </m:r>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r>
                    <m:t>s</m:t>
                  </m:r>
                  <m:r>
                    <m:rPr>
                      <m:sty m:val="p"/>
                    </m:rPr>
                    <m:t>(</m:t>
                  </m:r>
                  <m:sSub>
                    <m:e>
                      <m:r>
                        <m:t>Z</m:t>
                      </m:r>
                    </m:e>
                    <m:sub>
                      <m:r>
                        <m:t>k</m:t>
                      </m:r>
                      <m:r>
                        <m:rPr>
                          <m:sty m:val="p"/>
                        </m:rPr>
                        <m:t>,</m:t>
                      </m:r>
                      <m:r>
                        <m:t>i</m:t>
                      </m:r>
                    </m:sub>
                  </m:sSub>
                  <m:r>
                    <m:rPr>
                      <m:sty m:val="p"/>
                    </m:rPr>
                    <m:t>)</m:t>
                  </m:r>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oMath>
      </m:oMathPara>
    </w:p>
    <w:p>
      <w:pPr>
        <w:pStyle w:val="FirstParagraph"/>
        <w:jc w:val="both"/>
      </w:pPr>
      <w:r>
        <w:t xml:space="preserve">with coverage at least</w:t>
      </w:r>
      <w:r>
        <w:t xml:space="preserve"> </w:t>
      </w:r>
      <m:oMath>
        <m:r>
          <m:t>1</m:t>
        </m:r>
        <m:r>
          <m:rPr>
            <m:sty m:val="p"/>
          </m:rPr>
          <m:t>−</m:t>
        </m:r>
        <m:r>
          <m:t>α</m:t>
        </m:r>
      </m:oMath>
      <w:r>
        <w:t xml:space="preserve"> </w:t>
      </w:r>
      <w:r>
        <w:t xml:space="preserve">and, when scores are almost surely distinct, at</w:t>
      </w:r>
      <w:r>
        <w:t xml:space="preserve"> </w:t>
      </w:r>
      <w:r>
        <w:t xml:space="preserve">most</w:t>
      </w:r>
      <w:r>
        <w:t xml:space="preserve"> </w:t>
      </w:r>
      <m:oMath>
        <m:r>
          <m:t>1</m:t>
        </m:r>
        <m:r>
          <m:rPr>
            <m:sty m:val="p"/>
          </m:rPr>
          <m:t>−</m:t>
        </m:r>
        <m:r>
          <m:t>α</m:t>
        </m:r>
        <m:r>
          <m:rPr>
            <m:sty m:val="p"/>
          </m:rPr>
          <m:t>+</m:t>
        </m:r>
        <m:f>
          <m:fPr>
            <m:type m:val="bar"/>
          </m:fPr>
          <m:num>
            <m:r>
              <m:t>2</m:t>
            </m:r>
          </m:num>
          <m:den>
            <m:sSub>
              <m:e>
                <m:r>
                  <m:t>K</m:t>
                </m:r>
              </m:e>
              <m:sub>
                <m:r>
                  <m:t>1</m:t>
                </m:r>
              </m:sub>
            </m:sSub>
            <m:r>
              <m:rPr>
                <m:sty m:val="p"/>
              </m:rPr>
              <m:t>+</m:t>
            </m:r>
            <m:r>
              <m:t>1</m:t>
            </m:r>
          </m:den>
        </m:f>
      </m:oMath>
      <w:r>
        <w:t xml:space="preserve">. Dunn et al. [14] independently study two-layer</w:t>
      </w:r>
      <w:r>
        <w:t xml:space="preserve"> </w:t>
      </w:r>
      <w:r>
        <w:t xml:space="preserve">hierarchical models and introduce four constructions — pooling CDFs, double</w:t>
      </w:r>
      <w:r>
        <w:t xml:space="preserve"> </w:t>
      </w:r>
      <w:r>
        <w:t xml:space="preserve">conformal, subsampling once, and repeated subsampling — that address the same</w:t>
      </w:r>
      <w:r>
        <w:t xml:space="preserve"> </w:t>
      </w:r>
      <w:r>
        <w:t xml:space="preserve">setting.</w:t>
      </w:r>
    </w:p>
    <w:p>
      <w:pPr>
        <w:pStyle w:val="BodyText"/>
        <w:jc w:val="both"/>
      </w:pPr>
      <w:r>
        <w:t xml:space="preserve">Everything in the present paper takes this threshold as given. We do not</w:t>
      </w:r>
      <w:r>
        <w:t xml:space="preserve"> </w:t>
      </w:r>
      <w:r>
        <w:t xml:space="preserve">rederive it, and we claim no credit for it.</w:t>
      </w:r>
    </w:p>
    <w:p>
      <w:pPr>
        <w:pStyle w:val="BodyText"/>
        <w:jc w:val="both"/>
      </w:pPr>
      <w:r>
        <w:t xml:space="preserve">Both [13] and [14] are developed as theory, and their empirical sections are</w:t>
      </w:r>
      <w:r>
        <w:t xml:space="preserve"> </w:t>
      </w:r>
      <w:r>
        <w:t xml:space="preserve">regression problems; [13] evaluates on simulated data and a Lorenz-96 system.</w:t>
      </w:r>
      <w:r>
        <w:t xml:space="preserve"> </w:t>
      </w:r>
      <w:r>
        <w:t xml:space="preserve">Neither asks a question that is prior to applying the method at all:</w:t>
      </w:r>
      <w:r>
        <w:t xml:space="preserve"> </w:t>
      </w:r>
      <w:r>
        <w:rPr>
          <w:i/>
          <w:iCs/>
        </w:rPr>
        <w:t xml:space="preserve">given a</w:t>
      </w:r>
      <w:r>
        <w:rPr>
          <w:i/>
          <w:iCs/>
        </w:rPr>
        <w:t xml:space="preserve"> </w:t>
      </w:r>
      <w:r>
        <w:rPr>
          <w:i/>
          <w:iCs/>
        </w:rPr>
        <w:t xml:space="preserve">real clinical dataset and a target error rate, at which grouping — if any — can</w:t>
      </w:r>
      <w:r>
        <w:rPr>
          <w:i/>
          <w:iCs/>
        </w:rPr>
        <w:t xml:space="preserve"> </w:t>
      </w:r>
      <w:r>
        <w:rPr>
          <w:i/>
          <w:iCs/>
        </w:rPr>
        <w:t xml:space="preserve">the guarantee be enforced?</w:t>
      </w:r>
      <w:r>
        <w:t xml:space="preserve"> </w:t>
      </w:r>
      <w:r>
        <w:t xml:space="preserve">The</w:t>
      </w:r>
      <w:r>
        <w:t xml:space="preserve"> </w:t>
      </w:r>
      <m:oMath>
        <m:f>
          <m:fPr>
            <m:type m:val="bar"/>
          </m:fPr>
          <m:num>
            <m:r>
              <m:t>1</m:t>
            </m:r>
          </m:num>
          <m:den>
            <m:sSub>
              <m:e>
                <m:r>
                  <m:t>K</m:t>
                </m:r>
              </m:e>
              <m:sub>
                <m:r>
                  <m:t>1</m:t>
                </m:r>
              </m:sub>
            </m:sSub>
            <m:r>
              <m:rPr>
                <m:sty m:val="p"/>
              </m:rPr>
              <m:t>+</m:t>
            </m:r>
            <m:r>
              <m:t>1</m:t>
            </m:r>
          </m:den>
        </m:f>
      </m:oMath>
      <w:r>
        <w:t xml:space="preserve"> </w:t>
      </w:r>
      <w:r>
        <w:t xml:space="preserve">atom at</w:t>
      </w:r>
      <w:r>
        <w:t xml:space="preserve"> </w:t>
      </w:r>
      <m:oMath>
        <m:r>
          <m:rPr>
            <m:sty m:val="p"/>
          </m:rPr>
          <m:t>+</m:t>
        </m:r>
        <m:r>
          <m:rPr>
            <m:sty m:val="p"/>
          </m:rPr>
          <m:t>∞</m:t>
        </m:r>
      </m:oMath>
      <w:r>
        <w:t xml:space="preserve"> </w:t>
      </w:r>
      <w:r>
        <w:t xml:space="preserve">makes this a</w:t>
      </w:r>
      <w:r>
        <w:t xml:space="preserve"> </w:t>
      </w:r>
      <w:r>
        <w:t xml:space="preserve">non-trivial question, because it renders the threshold infinite whenever</w:t>
      </w:r>
      <w:r>
        <w:t xml:space="preserve"> </w:t>
      </w:r>
      <m:oMath>
        <m:r>
          <m:t>α</m:t>
        </m:r>
        <m:r>
          <m:rPr>
            <m:sty m:val="p"/>
          </m:rPr>
          <m:t>&lt;</m:t>
        </m:r>
        <m:f>
          <m:fPr>
            <m:type m:val="bar"/>
          </m:fPr>
          <m:num>
            <m:r>
              <m:t>1</m:t>
            </m:r>
          </m:num>
          <m:den>
            <m:sSub>
              <m:e>
                <m:r>
                  <m:t>K</m:t>
                </m:r>
              </m:e>
              <m:sub>
                <m:r>
                  <m:t>1</m:t>
                </m:r>
              </m:sub>
            </m:sSub>
            <m:r>
              <m:rPr>
                <m:sty m:val="p"/>
              </m:rPr>
              <m:t>+</m:t>
            </m:r>
            <m:r>
              <m:t>1</m:t>
            </m:r>
          </m:den>
        </m:f>
      </m:oMath>
      <w:r>
        <w:t xml:space="preserve">.</w:t>
      </w:r>
    </w:p>
    <w:p>
      <w:pPr>
        <w:pStyle w:val="BodyText"/>
        <w:jc w:val="both"/>
      </w:pPr>
      <w:r>
        <w:t xml:space="preserve">The authors of [13] state the open question themselves in their discussion,</w:t>
      </w:r>
      <w:r>
        <w:t xml:space="preserve"> </w:t>
      </w:r>
      <w:r>
        <w:t xml:space="preserve">observing that an analyst may choose between many independent groups with few</w:t>
      </w:r>
      <w:r>
        <w:t xml:space="preserve"> </w:t>
      </w:r>
      <w:r>
        <w:t xml:space="preserve">measurements each or few groups with many repeats, and that</w:t>
      </w:r>
      <w:r>
        <w:t xml:space="preserve"> </w:t>
      </w:r>
      <w:r>
        <w:rPr>
          <w:i/>
          <w:iCs/>
        </w:rPr>
        <w:t xml:space="preserve">characterizing the</w:t>
      </w:r>
      <w:r>
        <w:rPr>
          <w:i/>
          <w:iCs/>
        </w:rPr>
        <w:t xml:space="preserve"> </w:t>
      </w:r>
      <w:r>
        <w:rPr>
          <w:i/>
          <w:iCs/>
        </w:rPr>
        <w:t xml:space="preserve">pros and cons of this tradeoff is an important question to determine how study</w:t>
      </w:r>
      <w:r>
        <w:rPr>
          <w:i/>
          <w:iCs/>
        </w:rPr>
        <w:t xml:space="preserve"> </w:t>
      </w:r>
      <w:r>
        <w:rPr>
          <w:i/>
          <w:iCs/>
        </w:rPr>
        <w:t xml:space="preserve">design affects inference in this distribution-free setting.</w:t>
      </w:r>
      <w:r>
        <w:t xml:space="preserve"> </w:t>
      </w:r>
      <w:r>
        <w:t xml:space="preserve">Section 5 addresses</w:t>
      </w:r>
      <w:r>
        <w:t xml:space="preserve"> </w:t>
      </w:r>
      <w:r>
        <w:t xml:space="preserve">the most elementary part of that question — whether a finite threshold exists at</w:t>
      </w:r>
      <w:r>
        <w:t xml:space="preserve"> </w:t>
      </w:r>
      <w:r>
        <w:t xml:space="preserve">all for a given design — and the remainder of the paper measures what happens on</w:t>
      </w:r>
      <w:r>
        <w:t xml:space="preserve"> </w:t>
      </w:r>
      <w:r>
        <w:t xml:space="preserve">real clinical data when it does.</w:t>
      </w:r>
    </w:p>
    <w:bookmarkEnd w:id="11"/>
    <w:bookmarkStart w:id="12" w:name="Xb3d62584b5b09de89f81cd02ff8bdeb643dc2f4"/>
    <w:p>
      <w:pPr>
        <w:pStyle w:val="Heading2"/>
      </w:pPr>
      <w:r>
        <w:t xml:space="preserve">2.3 Conformal prediction for multi-label and hierarchical label spaces</w:t>
      </w:r>
    </w:p>
    <w:p>
      <w:pPr>
        <w:pStyle w:val="FirstParagraph"/>
        <w:jc w:val="both"/>
      </w:pPr>
      <w:r>
        <w:t xml:space="preserve">Papadopoulos [24] reviews conformal methods for multi-label learning and organizes</w:t>
      </w:r>
      <w:r>
        <w:t xml:space="preserve"> </w:t>
      </w:r>
      <w:r>
        <w:t xml:space="preserve">them by output type, guarantee, and where label dependence enters. The review is</w:t>
      </w:r>
      <w:r>
        <w:t xml:space="preserve"> </w:t>
      </w:r>
      <w:r>
        <w:t xml:space="preserve">explicit that the surveyed literature rests on the exchangeability assumption</w:t>
      </w:r>
      <w:r>
        <w:t xml:space="preserve"> </w:t>
      </w:r>
      <w:r>
        <w:t xml:space="preserve">throughout — that is, it treats dependence between labels while assuming</w:t>
      </w:r>
      <w:r>
        <w:t xml:space="preserve"> </w:t>
      </w:r>
      <w:r>
        <w:t xml:space="preserve">independence between samples. Our setting requires the converse.</w:t>
      </w:r>
    </w:p>
    <w:p>
      <w:pPr>
        <w:pStyle w:val="BodyText"/>
        <w:jc w:val="both"/>
      </w:pPr>
      <w:r>
        <w:t xml:space="preserve">Maltoudoglou et al. [25] address the computational cost of Label Powerset</w:t>
      </w:r>
      <w:r>
        <w:t xml:space="preserve"> </w:t>
      </w:r>
      <w:r>
        <w:t xml:space="preserve">conformal prediction by pruning label sets whose</w:t>
      </w:r>
      <w:r>
        <w:t xml:space="preserve"> </w:t>
      </w:r>
      <m:oMath>
        <m:r>
          <m:t>p</m:t>
        </m:r>
      </m:oMath>
      <w:r>
        <w:t xml:space="preserve">-values cannot exceed the</w:t>
      </w:r>
      <w:r>
        <w:t xml:space="preserve"> </w:t>
      </w:r>
      <w:r>
        <w:t xml:space="preserve">significance level. Hierarchical multi-label classification without conformal</w:t>
      </w:r>
      <w:r>
        <w:t xml:space="preserve"> </w:t>
      </w:r>
      <w:r>
        <w:t xml:space="preserve">guarantees is well developed [26], as is its application to clinical</w:t>
      </w:r>
      <w:r>
        <w:t xml:space="preserve"> </w:t>
      </w:r>
      <w:r>
        <w:t xml:space="preserve">recommendation [27].</w:t>
      </w:r>
    </w:p>
    <w:p>
      <w:pPr>
        <w:pStyle w:val="BodyText"/>
        <w:jc w:val="both"/>
      </w:pPr>
      <w:r>
        <w:t xml:space="preserve">Two recent efforts are close enough to require explicit differentiation. Baheri</w:t>
      </w:r>
      <w:r>
        <w:t xml:space="preserve"> </w:t>
      </w:r>
      <w:r>
        <w:t xml:space="preserve">and Amiri Shahbazi [28] define a conformity function at each of several</w:t>
      </w:r>
      <w:r>
        <w:t xml:space="preserve"> </w:t>
      </w:r>
      <w:r>
        <w:t xml:space="preserve">resolutions and intersect the resulting sets, distributing the miscoverage</w:t>
      </w:r>
      <w:r>
        <w:t xml:space="preserve"> </w:t>
      </w:r>
      <w:r>
        <w:t xml:space="preserve">budget across scales; the operation shrinks sets and pays a Bonferroni-type price</w:t>
      </w:r>
      <w:r>
        <w:t xml:space="preserve"> </w:t>
      </w:r>
      <w:r>
        <w:t xml:space="preserve">in coverage. Our hierarchical closure moves in the opposite direction: it</w:t>
      </w:r>
      <w:r>
        <w:t xml:space="preserve"> </w:t>
      </w:r>
      <w:r>
        <w:t xml:space="preserve">enlarges sets upward along the label taxonomy, and coverage is non-decreasing</w:t>
      </w:r>
      <w:r>
        <w:t xml:space="preserve"> </w:t>
      </w:r>
      <w:r>
        <w:t xml:space="preserve">as a result. Zhang et al. [29] represent prediction sets as nodes in a</w:t>
      </w:r>
      <w:r>
        <w:t xml:space="preserve"> </w:t>
      </w:r>
      <w:r>
        <w:t xml:space="preserve">directed acyclic graph, using coarse labels to</w:t>
      </w:r>
      <w:r>
        <w:t xml:space="preserve"> </w:t>
      </w:r>
      <w:r>
        <w:rPr>
          <w:i/>
          <w:iCs/>
        </w:rPr>
        <w:t xml:space="preserve">implicitly represent</w:t>
      </w:r>
      <w:r>
        <w:t xml:space="preserve"> </w:t>
      </w:r>
      <w:r>
        <w:t xml:space="preserve">their</w:t>
      </w:r>
      <w:r>
        <w:t xml:space="preserve"> </w:t>
      </w:r>
      <w:r>
        <w:t xml:space="preserve">descendants — a downward compression, again opposite in direction to upward</w:t>
      </w:r>
      <w:r>
        <w:t xml:space="preserve"> </w:t>
      </w:r>
      <w:r>
        <w:t xml:space="preserve">closure.</w:t>
      </w:r>
    </w:p>
    <w:bookmarkEnd w:id="12"/>
    <w:bookmarkStart w:id="13" w:name="X4e741a49732c3a13a6656c952bf1f83b478a4d6"/>
    <w:p>
      <w:pPr>
        <w:pStyle w:val="Heading2"/>
      </w:pPr>
      <w:r>
        <w:t xml:space="preserve">2.4 Uncertainty quantification for ECG and the inter-patient protocol</w:t>
      </w:r>
    </w:p>
    <w:p>
      <w:pPr>
        <w:pStyle w:val="FirstParagraph"/>
        <w:jc w:val="both"/>
      </w:pPr>
      <w:r>
        <w:t xml:space="preserve">Strodthoff et al. [1] established the benchmark suite for PTB-XL [2], [15], whose</w:t>
      </w:r>
      <w:r>
        <w:t xml:space="preserve"> </w:t>
      </w:r>
      <w:r>
        <w:t xml:space="preserve">residual architectures inform the backbones used here. Evaluation on heartbeat-level arrhythmia data</w:t>
      </w:r>
      <w:r>
        <w:t xml:space="preserve"> </w:t>
      </w:r>
      <w:r>
        <w:t xml:space="preserve">follows the inter-patient protocol, in which no subject contributes to both</w:t>
      </w:r>
      <w:r>
        <w:t xml:space="preserve"> </w:t>
      </w:r>
      <w:r>
        <w:t xml:space="preserve">training and evaluation [30], [31]; violating this separation inflates reported</w:t>
      </w:r>
      <w:r>
        <w:t xml:space="preserve"> </w:t>
      </w:r>
      <w:r>
        <w:t xml:space="preserve">performance and is the single most common methodological error in the area [32].</w:t>
      </w:r>
    </w:p>
    <w:p>
      <w:pPr>
        <w:pStyle w:val="BodyText"/>
        <w:jc w:val="both"/>
      </w:pPr>
      <w:r>
        <w:t xml:space="preserve">Reviews of uncertainty quantification in clinical deep learning [3] and the</w:t>
      </w:r>
      <w:r>
        <w:t xml:space="preserve"> </w:t>
      </w:r>
      <w:r>
        <w:t xml:space="preserve">FUTURE-AI consensus guideline [4] both identify calibrated uncertainty as a</w:t>
      </w:r>
      <w:r>
        <w:t xml:space="preserve"> </w:t>
      </w:r>
      <w:r>
        <w:t xml:space="preserve">prerequisite for deployment, making the requirement a matter of published</w:t>
      </w:r>
      <w:r>
        <w:t xml:space="preserve"> </w:t>
      </w:r>
      <w:r>
        <w:t xml:space="preserve">consensus rather than authorial preference. Conformal prediction specifically in</w:t>
      </w:r>
      <w:r>
        <w:t xml:space="preserve"> </w:t>
      </w:r>
      <w:r>
        <w:t xml:space="preserve">clinical medicine is surveyed in [6], with recent applications to anatomical</w:t>
      </w:r>
      <w:r>
        <w:t xml:space="preserve"> </w:t>
      </w:r>
      <w:r>
        <w:t xml:space="preserve">landmark localization [33] and multi-label diagnosis coding [7]. Conformal risk</w:t>
      </w:r>
      <w:r>
        <w:t xml:space="preserve"> </w:t>
      </w:r>
      <w:r>
        <w:t xml:space="preserve">control [34] and conformal prediction for time series [35] supply the loss-control</w:t>
      </w:r>
      <w:r>
        <w:t xml:space="preserve"> </w:t>
      </w:r>
      <w:r>
        <w:t xml:space="preserve">and temporal machinery we build on.</w:t>
      </w:r>
    </w:p>
    <w:p>
      <w:pPr>
        <w:pStyle w:val="BodyText"/>
        <w:jc w:val="both"/>
      </w:pPr>
      <w:r>
        <w:t xml:space="preserve">Work on conformal prediction for ECG and related cardiac signals has grown</w:t>
      </w:r>
      <w:r>
        <w:t xml:space="preserve"> </w:t>
      </w:r>
      <w:r>
        <w:t xml:space="preserve">quickly. El Allam and Hamlich calibrate label-conditional Mondrian conformal</w:t>
      </w:r>
      <w:r>
        <w:t xml:space="preserve"> </w:t>
      </w:r>
      <w:r>
        <w:t xml:space="preserve">prediction on patient-disjoint PTB-XL partitions and show that calibration must</w:t>
      </w:r>
      <w:r>
        <w:t xml:space="preserve"> </w:t>
      </w:r>
      <w:r>
        <w:t xml:space="preserve">match the quantized model actually deployed [8], and extend conformal inference</w:t>
      </w:r>
      <w:r>
        <w:t xml:space="preserve"> </w:t>
      </w:r>
      <w:r>
        <w:t xml:space="preserve">to adaptive, edge-deployed wearables [9]. Kinalioğlu audits PPG-based ICU</w:t>
      </w:r>
      <w:r>
        <w:t xml:space="preserve"> </w:t>
      </w:r>
      <w:r>
        <w:t xml:space="preserve">arrhythmia classification and shows that marginal coverage can conceal per-class</w:t>
      </w:r>
      <w:r>
        <w:t xml:space="preserve"> </w:t>
      </w:r>
      <w:r>
        <w:t xml:space="preserve">and per-patient failures, using patient-clustered resampling [10]. Closest to the</w:t>
      </w:r>
      <w:r>
        <w:t xml:space="preserve"> </w:t>
      </w:r>
      <w:r>
        <w:t xml:space="preserve">present study, Sim and Kim show for ECG monitoring that the finite-sample</w:t>
      </w:r>
      <w:r>
        <w:t xml:space="preserve"> </w:t>
      </w:r>
      <w:r>
        <w:t xml:space="preserve">false-alarm bound of split conformal prediction counts exchangeable subjects</w:t>
      </w:r>
      <w:r>
        <w:t xml:space="preserve"> </w:t>
      </w:r>
      <w:r>
        <w:t xml:space="preserve">rather than beats, that too few calibration subjects inflate the realized</w:t>
      </w:r>
      <w:r>
        <w:t xml:space="preserve"> </w:t>
      </w:r>
      <w:r>
        <w:t xml:space="preserve">false-alarm rate, and that the unit carrying the guarantee must be the unit</w:t>
      </w:r>
      <w:r>
        <w:t xml:space="preserve"> </w:t>
      </w:r>
      <w:r>
        <w:t xml:space="preserve">raising alarms [11]. Outside cardiology, group-aware conformal calibration has</w:t>
      </w:r>
      <w:r>
        <w:t xml:space="preserve"> </w:t>
      </w:r>
      <w:r>
        <w:t xml:space="preserve">been applied to patients nested in thousands of hospitals [36].</w:t>
      </w:r>
    </w:p>
    <w:p>
      <w:pPr>
        <w:pStyle w:val="BodyText"/>
        <w:jc w:val="both"/>
      </w:pPr>
      <w:r>
        <w:t xml:space="preserve">These studies evaluate whether a conformal procedure achieves its target on a</w:t>
      </w:r>
      <w:r>
        <w:t xml:space="preserve"> </w:t>
      </w:r>
      <w:r>
        <w:t xml:space="preserve">given split. The present paper asks a prior, design-stage question that they</w:t>
      </w:r>
      <w:r>
        <w:t xml:space="preserve"> </w:t>
      </w:r>
      <w:r>
        <w:t xml:space="preserve">leave implicit: whether a block-level coverage guarantee is feasible at all once</w:t>
      </w:r>
      <w:r>
        <w:t xml:space="preserve"> </w:t>
      </w:r>
      <w:r>
        <w:t xml:space="preserve">every declared dependence source — including crossed sources and label-level</w:t>
      </w:r>
      <w:r>
        <w:t xml:space="preserve"> </w:t>
      </w:r>
      <w:r>
        <w:t xml:space="preserve">conditioning — is respected, and whether ignoring block structure costs coverage</w:t>
      </w:r>
      <w:r>
        <w:t xml:space="preserve"> </w:t>
      </w:r>
      <w:r>
        <w:t xml:space="preserve">once mechanical effects of the finite-block correction are controlled.</w:t>
      </w:r>
    </w:p>
    <w:bookmarkEnd w:id="13"/>
    <w:bookmarkEnd w:id="14"/>
    <w:bookmarkStart w:id="18" w:name="preliminaries-and-notation"/>
    <w:p>
      <w:pPr>
        <w:pStyle w:val="Heading1"/>
      </w:pPr>
      <w:r>
        <w:t xml:space="preserve">3. Preliminaries and Notation</w:t>
      </w:r>
    </w:p>
    <w:bookmarkStart w:id="15" w:name="X25fc5e6cd1c3efadf9fe8f0fadf134fc9f50154"/>
    <w:p>
      <w:pPr>
        <w:pStyle w:val="Heading2"/>
      </w:pPr>
      <w:r>
        <w:t xml:space="preserve">3.1 Hierarchical data and blocked exchangeability</w:t>
      </w:r>
    </w:p>
    <w:p>
      <w:pPr>
        <w:pStyle w:val="FirstParagraph"/>
        <w:jc w:val="both"/>
      </w:pPr>
      <w:r>
        <w:t xml:space="preserve">Sections 3.1–3.2 restate the framework of Lee et al. [13] for completeness of notation; none of it is claimed as ours.</w:t>
      </w:r>
    </w:p>
    <w:p>
      <w:pPr>
        <w:pStyle w:val="BodyText"/>
        <w:jc w:val="both"/>
      </w:pPr>
      <w:r>
        <w:t xml:space="preserve">Let the calibration data consist of</w:t>
      </w:r>
      <w:r>
        <w:t xml:space="preserve"> </w:t>
      </w:r>
      <m:oMath>
        <m:r>
          <m:t>K</m:t>
        </m:r>
      </m:oMath>
      <w:r>
        <w:t xml:space="preserve"> </w:t>
      </w:r>
      <w:r>
        <w:t xml:space="preserve">blocks (groups), where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Write</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w:t>
      </w:r>
      <w:r>
        <w:t xml:space="preserve">for the total number of observations. In our clinical setting a block is a patient and an observation is a single 10-second ECG recording, but the framework is agnostic to what defines a block.</w:t>
      </w:r>
    </w:p>
    <w:p>
      <w:pPr>
        <w:pStyle w:val="BodyText"/>
        <w:jc w:val="both"/>
      </w:pPr>
      <w:r>
        <w:t xml:space="preserve">Standard conformal prediction assumes the calibration and test points are exchangeable. Lee et al. [13] show that this fails whenever observations are nested within groups, and introduce hierarchical exchangeability: blocks are exchangeable with one another, and observations are exchangeable</w:t>
      </w:r>
      <w:r>
        <w:t xml:space="preserve"> </w:t>
      </w:r>
      <w:r>
        <w:rPr>
          <w:i/>
          <w:iCs/>
        </w:rPr>
        <w:t xml:space="preserve">within</w:t>
      </w:r>
      <w:r>
        <w:t xml:space="preserve"> </w:t>
      </w:r>
      <w:r>
        <w:t xml:space="preserve">each block, but observations are not exchangeable</w:t>
      </w:r>
      <w:r>
        <w:t xml:space="preserve"> </w:t>
      </w:r>
      <w:r>
        <w:rPr>
          <w:i/>
          <w:iCs/>
        </w:rPr>
        <w:t xml:space="preserve">across</w:t>
      </w:r>
      <w:r>
        <w:t xml:space="preserve"> </w:t>
      </w:r>
      <w:r>
        <w:t xml:space="preserve">the full pooled sample.</w:t>
      </w:r>
    </w:p>
    <w:p>
      <w:pPr>
        <w:pStyle w:val="BodyText"/>
        <w:jc w:val="both"/>
      </w:pPr>
      <w:r>
        <w:t xml:space="preserve">Let</w:t>
      </w:r>
      <w:r>
        <w:t xml:space="preserve"> </w:t>
      </w:r>
      <m:oMath>
        <m:r>
          <m:t>s</m:t>
        </m:r>
        <m:r>
          <m:rPr>
            <m:sty m:val="p"/>
          </m:rPr>
          <m:t>(</m:t>
        </m:r>
        <m:r>
          <m:rPr>
            <m:sty m:val="p"/>
          </m:rPr>
          <m:t>⋅</m:t>
        </m:r>
        <m:r>
          <m:rPr>
            <m:sty m:val="p"/>
          </m:rPr>
          <m:t>)</m:t>
        </m:r>
      </m:oMath>
      <w:r>
        <w:t xml:space="preserve"> </w:t>
      </w:r>
      <w:r>
        <w:t xml:space="preserve">denote a nonconformity score, fixed independently of the calibration data, and write</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Let</w:t>
      </w:r>
    </w:p>
    <w:p>
      <w:pPr>
        <w:pStyle w:val="BodyText"/>
      </w:pPr>
      <m:oMathPara>
        <m:oMathParaPr>
          <m:jc m:val="center"/>
        </m:oMathParaP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m:oMathPara>
    </w:p>
    <w:p>
      <w:pPr>
        <w:pStyle w:val="FirstParagraph"/>
      </w:pPr>
      <w:r>
        <w:t xml:space="preserve">denote 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w:t>
      </w:r>
    </w:p>
    <w:bookmarkEnd w:id="15"/>
    <w:bookmarkStart w:id="16" w:name="hierarchical-conformal-prediction-hcp"/>
    <w:p>
      <w:pPr>
        <w:pStyle w:val="Heading2"/>
      </w:pPr>
      <w:r>
        <w:t xml:space="preserve">3.2 Hierarchical conformal prediction (HCP)</w:t>
      </w:r>
    </w:p>
    <w:p>
      <w:pPr>
        <w:pStyle w:val="FirstParagraph"/>
      </w:pPr>
      <w:r>
        <w:t xml:space="preserve">Writing</w:t>
      </w:r>
      <w:r>
        <w:t xml:space="preserve"> </w:t>
      </w:r>
      <m:oMath>
        <m:sSub>
          <m:e>
            <m:r>
              <m:t>K</m:t>
            </m:r>
          </m:e>
          <m:sub>
            <m:r>
              <m:t>1</m:t>
            </m:r>
          </m:sub>
        </m:sSub>
      </m:oMath>
      <w:r>
        <w:t xml:space="preserve"> </w:t>
      </w:r>
      <w:r>
        <w:t xml:space="preserve">for the number of calibration blocks, HCP calibrates the threshold as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Two features of (1) drive everything that follows. First, each block contributes the same total mass</w:t>
      </w:r>
      <w:r>
        <w:t xml:space="preserve"> </w:t>
      </w:r>
      <m:oMath>
        <m:f>
          <m:fPr>
            <m:type m:val="bar"/>
          </m:fPr>
          <m:num>
            <m:r>
              <m:t>1</m:t>
            </m:r>
          </m:num>
          <m:den>
            <m:sSub>
              <m:e>
                <m:r>
                  <m:t>K</m:t>
                </m:r>
              </m:e>
              <m:sub>
                <m:r>
                  <m:t>1</m:t>
                </m:r>
              </m:sub>
            </m:sSub>
            <m:r>
              <m:rPr>
                <m:sty m:val="p"/>
              </m:rPr>
              <m:t>+</m:t>
            </m:r>
            <m:r>
              <m:t>1</m:t>
            </m:r>
          </m:den>
        </m:f>
      </m:oMath>
      <w:r>
        <w:t xml:space="preserve"> </w:t>
      </w:r>
      <w:r>
        <w:t xml:space="preserve">regardless of how many observations it contains; within a block that mass is divided evenly across its</w:t>
      </w:r>
      <w:r>
        <w:t xml:space="preserve"> </w:t>
      </w:r>
      <m:oMath>
        <m:sSub>
          <m:e>
            <m:r>
              <m:t>N</m:t>
            </m:r>
          </m:e>
          <m:sub>
            <m:r>
              <m:t>k</m:t>
            </m:r>
          </m:sub>
        </m:sSub>
      </m:oMath>
      <w:r>
        <w:t xml:space="preserve"> </w:t>
      </w:r>
      <w:r>
        <w:t xml:space="preserve">members. Second, a mass of</w:t>
      </w:r>
      <w:r>
        <w:t xml:space="preserve"> </w:t>
      </w:r>
      <m:oMath>
        <m:f>
          <m:fPr>
            <m:type m:val="bar"/>
          </m:fPr>
          <m:num>
            <m:r>
              <m:t>1</m:t>
            </m:r>
          </m:num>
          <m:den>
            <m:sSub>
              <m:e>
                <m:r>
                  <m:t>K</m:t>
                </m:r>
              </m:e>
              <m:sub>
                <m:r>
                  <m:t>1</m:t>
                </m:r>
              </m:sub>
            </m:sSub>
            <m:r>
              <m:rPr>
                <m:sty m:val="p"/>
              </m:rPr>
              <m:t>+</m:t>
            </m:r>
            <m:r>
              <m:t>1</m:t>
            </m:r>
          </m:den>
        </m:f>
      </m:oMath>
      <w:r>
        <w:t xml:space="preserve"> </w:t>
      </w:r>
      <w:r>
        <w:t xml:space="preserve">is placed at</w:t>
      </w:r>
      <w:r>
        <w:t xml:space="preserve"> </w:t>
      </w:r>
      <m:oMath>
        <m:r>
          <m:rPr>
            <m:sty m:val="p"/>
          </m:rPr>
          <m:t>+</m:t>
        </m:r>
        <m:r>
          <m:rPr>
            <m:sty m:val="p"/>
          </m:rPr>
          <m:t>∞</m:t>
        </m:r>
      </m:oMath>
      <w:r>
        <w:t xml:space="preserve">, which is the price of not knowing the test block in advance.</w:t>
      </w:r>
    </w:p>
    <w:p>
      <w:pPr>
        <w:pStyle w:val="BodyText"/>
      </w:pPr>
      <w:r>
        <w:t xml:space="preserve">Lee et al. [13, Th. 1] prove the two-sided guarantee</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t>  </m:t>
          </m:r>
          <m:r>
            <m:rPr>
              <m:nor/>
              <m:sty m:val="p"/>
            </m:rPr>
            <m:t>(2)</m:t>
          </m:r>
        </m:oMath>
      </m:oMathPara>
    </w:p>
    <w:p>
      <w:pPr>
        <w:pStyle w:val="FirstParagraph"/>
      </w:pPr>
      <w:r>
        <w:t xml:space="preserve">for a test point drawn from a previously unseen block.</w:t>
      </w:r>
    </w:p>
    <w:bookmarkEnd w:id="16"/>
    <w:bookmarkStart w:id="17" w:name="label-hierarchy"/>
    <w:p>
      <w:pPr>
        <w:pStyle w:val="Heading2"/>
      </w:pPr>
      <w:r>
        <w:t xml:space="preserve">3.3 Label hierarchy</w:t>
      </w:r>
    </w:p>
    <w:p>
      <w:pPr>
        <w:pStyle w:val="FirstParagraph"/>
        <w:jc w:val="both"/>
      </w:pPr>
      <w:r>
        <w:t xml:space="preserve">PTB-XL organizes diagnoses as a three-level tree: 5 diagnostic superclasses, 23 subclasses, and 44 diagnostic SCP statements. A recording may carry several labels simultaneously, so the target is a</w:t>
      </w:r>
      <w:r>
        <w:t xml:space="preserve"> </w:t>
      </w:r>
      <w:r>
        <w:rPr>
          <w:i/>
          <w:iCs/>
        </w:rPr>
        <w:t xml:space="preserve">set</w:t>
      </w:r>
      <w:r>
        <w:t xml:space="preserve"> </w:t>
      </w:r>
      <m:oMath>
        <m:r>
          <m:t>Y</m:t>
        </m:r>
        <m:r>
          <m:rPr>
            <m:sty m:val="p"/>
          </m:rPr>
          <m:t>⊆</m:t>
        </m:r>
        <m:r>
          <m:rPr>
            <m:scr m:val="script"/>
            <m:sty m:val="p"/>
          </m:rPr>
          <m:t>L</m:t>
        </m:r>
      </m:oMath>
      <w:r>
        <w:t xml:space="preserve"> </w:t>
      </w:r>
      <w:r>
        <w:t xml:space="preserve">rather than a single class. We write</w:t>
      </w:r>
      <w:r>
        <w:t xml:space="preserve"> </w:t>
      </w:r>
      <m:oMath>
        <m:r>
          <m:rPr>
            <m:sty m:val="p"/>
          </m:rPr>
          <m:t>p</m:t>
        </m:r>
        <m:r>
          <m:rPr>
            <m:sty m:val="p"/>
          </m:rPr>
          <m:t>a</m:t>
        </m:r>
        <m:r>
          <m:rPr>
            <m:sty m:val="p"/>
          </m:rPr>
          <m:t>r</m:t>
        </m:r>
        <m:r>
          <m:rPr>
            <m:sty m:val="p"/>
          </m:rPr>
          <m:t>e</m:t>
        </m:r>
        <m:r>
          <m:rPr>
            <m:sty m:val="p"/>
          </m:rPr>
          <m:t>n</m:t>
        </m:r>
        <m:r>
          <m:rPr>
            <m:sty m:val="p"/>
          </m:rPr>
          <m:t>t</m:t>
        </m:r>
        <m:r>
          <m:rPr>
            <m:sty m:val="p"/>
          </m:rPr>
          <m:t>(</m:t>
        </m:r>
        <m:r>
          <m:t>ℓ</m:t>
        </m:r>
        <m:r>
          <m:rPr>
            <m:sty m:val="p"/>
          </m:rPr>
          <m:t>)</m:t>
        </m:r>
      </m:oMath>
      <w:r>
        <w:t xml:space="preserve"> </w:t>
      </w:r>
      <w:r>
        <w:t xml:space="preserve">for the parent of label</w:t>
      </w:r>
      <w:r>
        <w:t xml:space="preserve"> </w:t>
      </w:r>
      <m:oMath>
        <m:r>
          <m:t>ℓ</m:t>
        </m:r>
      </m:oMath>
      <w:r>
        <w:t xml:space="preserve"> </w:t>
      </w:r>
      <w:r>
        <w:t xml:space="preserve">and call a set</w:t>
      </w:r>
      <w:r>
        <w:t xml:space="preserve"> </w:t>
      </w:r>
      <m:oMath>
        <m:r>
          <m:rPr>
            <m:scr m:val="script"/>
            <m:sty m:val="p"/>
          </m:rPr>
          <m:t>C</m:t>
        </m:r>
      </m:oMath>
      <w:r>
        <w:t xml:space="preserve"> </w:t>
      </w:r>
      <w:r>
        <w:t xml:space="preserve">upward closed if</w:t>
      </w:r>
      <w:r>
        <w:t xml:space="preserve"> </w:t>
      </w:r>
      <m:oMath>
        <m:r>
          <m:t>ℓ</m:t>
        </m:r>
        <m:r>
          <m:rPr>
            <m:sty m:val="p"/>
          </m:rPr>
          <m:t>∈</m:t>
        </m:r>
        <m:r>
          <m:rPr>
            <m:scr m:val="script"/>
            <m:sty m:val="p"/>
          </m:rPr>
          <m:t>C</m:t>
        </m:r>
        <m:r>
          <m:rPr>
            <m:sty m:val="p"/>
          </m:rPr>
          <m:t>⇒</m:t>
        </m:r>
        <m:r>
          <m:rPr>
            <m:sty m:val="p"/>
          </m:rPr>
          <m:t>p</m:t>
        </m:r>
        <m:r>
          <m:rPr>
            <m:sty m:val="p"/>
          </m:rPr>
          <m:t>a</m:t>
        </m:r>
        <m:r>
          <m:rPr>
            <m:sty m:val="p"/>
          </m:rPr>
          <m:t>r</m:t>
        </m:r>
        <m:r>
          <m:rPr>
            <m:sty m:val="p"/>
          </m:rPr>
          <m:t>e</m:t>
        </m:r>
        <m:r>
          <m:rPr>
            <m:sty m:val="p"/>
          </m:rPr>
          <m:t>n</m:t>
        </m:r>
        <m:r>
          <m:rPr>
            <m:sty m:val="p"/>
          </m:rPr>
          <m:t>t</m:t>
        </m:r>
        <m:r>
          <m:rPr>
            <m:sty m:val="p"/>
          </m:rPr>
          <m:t>(</m:t>
        </m:r>
        <m:r>
          <m:t>ℓ</m:t>
        </m:r>
        <m:r>
          <m:rPr>
            <m:sty m:val="p"/>
          </m:rPr>
          <m:t>)</m:t>
        </m:r>
        <m:r>
          <m:rPr>
            <m:sty m:val="p"/>
          </m:rPr>
          <m:t>∈</m:t>
        </m:r>
        <m:r>
          <m:rPr>
            <m:scr m:val="script"/>
            <m:sty m:val="p"/>
          </m:rPr>
          <m:t>C</m:t>
        </m:r>
      </m:oMath>
      <w:r>
        <w:t xml:space="preserve">.</w:t>
      </w:r>
    </w:p>
    <w:p>
      <w:r>
        <w:pict>
          <v:rect style="width:0;height:1.5pt" o:hralign="center" o:hrstd="t" o:hr="t"/>
        </w:pict>
      </w:r>
    </w:p>
    <w:bookmarkEnd w:id="17"/>
    <w:bookmarkEnd w:id="18"/>
    <w:bookmarkStart w:id="22" w:name="problem-formulation"/>
    <w:p>
      <w:pPr>
        <w:pStyle w:val="Heading1"/>
      </w:pPr>
      <w:r>
        <w:t xml:space="preserve">4. Problem Formulation</w:t>
      </w:r>
    </w:p>
    <w:p>
      <w:pPr>
        <w:pStyle w:val="FirstParagraph"/>
        <w:jc w:val="both"/>
      </w:pPr>
      <w:r>
        <w:t xml:space="preserve">Equation (1) is a complete recipe 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given. It does not, however, say anything about</w:t>
      </w:r>
      <w:r>
        <w:t xml:space="preserve"> </w:t>
      </w:r>
      <w:r>
        <w:rPr>
          <w:i/>
          <w:iCs/>
        </w:rPr>
        <w:t xml:space="preserve">whether the resulting guarantee carries any information</w:t>
      </w:r>
      <w:r>
        <w:t xml:space="preserve">. That is the question we take up.</w:t>
      </w:r>
    </w:p>
    <w:bookmarkStart w:id="19" w:name="when-is-a-non-trivial-guarantee-possible"/>
    <w:p>
      <w:pPr>
        <w:pStyle w:val="Heading2"/>
      </w:pPr>
      <w:r>
        <w:t xml:space="preserve">4.1 When is a non-trivial guarantee possible?</w:t>
      </w:r>
    </w:p>
    <w:p>
      <w:pPr>
        <w:pStyle w:val="FirstParagraph"/>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pPr>
      <w:r>
        <w:rPr>
          <w:i/>
          <w:iCs/>
        </w:rPr>
        <w:t xml:space="preserve">Proof.</w:t>
      </w:r>
      <w:r>
        <w:t xml:space="preserve"> </w:t>
      </w:r>
      <w:r>
        <w:t xml:space="preserve">The finite atoms in (1) carry total mass</w:t>
      </w:r>
    </w:p>
    <w:p>
      <w:pPr>
        <w:pStyle w:val="BodyText"/>
      </w:pPr>
      <m:oMathPara>
        <m:oMathParaPr>
          <m:jc m:val="center"/>
        </m:oMathParaPr>
        <m:oMath>
          <m:nary>
            <m:naryPr>
              <m:chr m:val="∑"/>
              <m:limLoc m:val="undOvr"/>
              <m:subHide m:val="off"/>
              <m:supHide m:val="on"/>
            </m:naryPr>
            <m:sub>
              <m:r>
                <m:t>k</m:t>
              </m:r>
            </m:sub>
            <m:sup>
              <m:r>
                <m:t>​</m:t>
              </m:r>
            </m:sup>
            <m:e>
              <m:nary>
                <m:naryPr>
                  <m:chr m:val="∑"/>
                  <m:limLoc m:val="undOvr"/>
                  <m:subHide m:val="off"/>
                  <m:supHide m:val="on"/>
                </m:naryPr>
                <m:sub>
                  <m:r>
                    <m:t>i</m:t>
                  </m:r>
                </m:sub>
                <m:sup>
                  <m:r>
                    <m:t>​</m:t>
                  </m:r>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rPr>
              <m:sty m:val="p"/>
            </m:rPr>
            <m:t>=</m:t>
          </m:r>
          <m:nary>
            <m:naryPr>
              <m:chr m:val="∑"/>
              <m:limLoc m:val="undOvr"/>
              <m:subHide m:val="off"/>
              <m:supHide m:val="on"/>
            </m:naryPr>
            <m:sub>
              <m:r>
                <m:t>k</m:t>
              </m:r>
            </m:sub>
            <m:sup>
              <m:r>
                <m:t>​</m:t>
              </m:r>
            </m:sup>
            <m:e>
              <m:f>
                <m:fPr>
                  <m:type m:val="bar"/>
                </m:fPr>
                <m:num>
                  <m:sSub>
                    <m:e>
                      <m:r>
                        <m:t>N</m:t>
                      </m:r>
                    </m:e>
                    <m:sub>
                      <m:r>
                        <m:t>k</m:t>
                      </m:r>
                    </m:sub>
                  </m:sSub>
                </m:num>
                <m:den>
                  <m:r>
                    <m:rPr>
                      <m:sty m:val="p"/>
                    </m:rPr>
                    <m:t>(</m:t>
                  </m:r>
                  <m:sSub>
                    <m:e>
                      <m:r>
                        <m:t>K</m:t>
                      </m:r>
                    </m:e>
                    <m:sub>
                      <m:r>
                        <m:t>1</m:t>
                      </m:r>
                    </m:sub>
                  </m:sSub>
                  <m:r>
                    <m:rPr>
                      <m:sty m:val="p"/>
                    </m:rPr>
                    <m:t>+</m:t>
                  </m:r>
                  <m:r>
                    <m:t>1</m:t>
                  </m:r>
                  <m:r>
                    <m:rPr>
                      <m:sty m:val="p"/>
                    </m:rPr>
                    <m:t>)</m:t>
                  </m:r>
                  <m:sSub>
                    <m:e>
                      <m:r>
                        <m:t>N</m:t>
                      </m:r>
                    </m:e>
                    <m:sub>
                      <m:r>
                        <m:t>k</m:t>
                      </m:r>
                    </m:sub>
                  </m:sSub>
                </m:den>
              </m:f>
            </m:e>
          </m:nary>
          <m:r>
            <m:rPr>
              <m:sty m:val="p"/>
            </m:rPr>
            <m:t>=</m:t>
          </m:r>
          <m:f>
            <m:fPr>
              <m:type m:val="bar"/>
            </m:fPr>
            <m:num>
              <m:sSub>
                <m:e>
                  <m:r>
                    <m:t>K</m:t>
                  </m:r>
                </m:e>
                <m:sub>
                  <m:r>
                    <m:t>1</m:t>
                  </m:r>
                </m:sub>
              </m:sSub>
            </m:num>
            <m:den>
              <m:sSub>
                <m:e>
                  <m:r>
                    <m:t>K</m:t>
                  </m:r>
                </m:e>
                <m:sub>
                  <m:r>
                    <m:t>1</m:t>
                  </m:r>
                </m:sub>
              </m:sSub>
              <m:r>
                <m:rPr>
                  <m:sty m:val="p"/>
                </m:rPr>
                <m:t>+</m:t>
              </m:r>
              <m:r>
                <m:t>1</m:t>
              </m:r>
            </m:den>
          </m:f>
          <m:r>
            <m:rPr>
              <m:sty m:val="p"/>
            </m:rPr>
            <m:t>.</m:t>
          </m:r>
        </m:oMath>
      </m:oMathPara>
    </w:p>
    <w:p>
      <w:pPr>
        <w:pStyle w:val="FirstParagraph"/>
        <w:jc w:val="both"/>
      </w:pPr>
      <w:r>
        <w:t xml:space="preserve">Let</w:t>
      </w:r>
      <w:r>
        <w:t xml:space="preserve"> </w:t>
      </w:r>
      <m:oMath>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w:t>
      </w:r>
      <w:r>
        <w:t xml:space="preserve">and let</w:t>
      </w:r>
      <w:r>
        <w:t xml:space="preserve"> </w:t>
      </w:r>
      <m:oMath>
        <m:acc>
          <m:accPr>
            <m:chr m:val="̂"/>
          </m:accPr>
          <m:e>
            <m:r>
              <m:t>F</m:t>
            </m:r>
          </m:e>
        </m:acc>
      </m:oMath>
      <w:r>
        <w:t xml:space="preserve"> </w:t>
      </w:r>
      <w:r>
        <w:t xml:space="preserve">denote the weighted CDF in (1). Then</w:t>
      </w:r>
      <w:r>
        <w:t xml:space="preserve"> </w:t>
      </w:r>
      <m:oMath>
        <m:acc>
          <m:accPr>
            <m:chr m:val="̂"/>
          </m:accPr>
          <m:e>
            <m:r>
              <m:t>F</m:t>
            </m:r>
          </m:e>
        </m:acc>
        <m:r>
          <m:rPr>
            <m:sty m:val="p"/>
          </m:rPr>
          <m:t>(</m:t>
        </m:r>
        <m:r>
          <m:t>t</m:t>
        </m:r>
        <m:r>
          <m:rPr>
            <m:sty m:val="p"/>
          </m:rPr>
          <m:t>)</m:t>
        </m:r>
        <m:r>
          <m:rPr>
            <m:sty m:val="p"/>
          </m:rPr>
          <m:t>≤</m:t>
        </m:r>
        <m:f>
          <m:fPr>
            <m:type m:val="bar"/>
          </m:fPr>
          <m:num>
            <m:sSub>
              <m:e>
                <m:r>
                  <m:t>K</m:t>
                </m:r>
              </m:e>
              <m:sub>
                <m:r>
                  <m:t>1</m:t>
                </m:r>
              </m:sub>
            </m:sSub>
          </m:num>
          <m:den>
            <m:sSub>
              <m:e>
                <m:r>
                  <m:t>K</m:t>
                </m:r>
              </m:e>
              <m:sub>
                <m:r>
                  <m:t>1</m:t>
                </m:r>
              </m:sub>
            </m:sSub>
            <m:r>
              <m:rPr>
                <m:sty m:val="p"/>
              </m:rPr>
              <m:t>+</m:t>
            </m:r>
            <m:r>
              <m:t>1</m:t>
            </m:r>
          </m:den>
        </m:f>
      </m:oMath>
      <w:r>
        <w:t xml:space="preserve"> </w:t>
      </w:r>
      <w:r>
        <w:t xml:space="preserve">for every finite</w:t>
      </w:r>
      <w:r>
        <w:t xml:space="preserve"> </w:t>
      </w:r>
      <m:oMath>
        <m:r>
          <m:t>t</m:t>
        </m:r>
      </m:oMath>
      <w:r>
        <w:t xml:space="preserve">, with equality at</w:t>
      </w:r>
      <w:r>
        <w:t xml:space="preserve"> </w:t>
      </w:r>
      <m:oMath>
        <m:r>
          <m:t>t</m:t>
        </m:r>
        <m:r>
          <m:rPr>
            <m:sty m:val="p"/>
          </m:rPr>
          <m:t>=</m:t>
        </m:r>
        <m:r>
          <m:t>M</m:t>
        </m:r>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 the threshold is finite iff</w:t>
      </w:r>
      <w:r>
        <w:t xml:space="preserve"> </w:t>
      </w:r>
      <m:oMath>
        <m:f>
          <m:fPr>
            <m:type m:val="bar"/>
          </m:fPr>
          <m:num>
            <m:sSub>
              <m:e>
                <m:r>
                  <m:t>K</m:t>
                </m:r>
              </m:e>
              <m:sub>
                <m:r>
                  <m:t>1</m:t>
                </m:r>
              </m:sub>
            </m:sSub>
          </m:num>
          <m:den>
            <m:sSub>
              <m:e>
                <m:r>
                  <m:t>K</m:t>
                </m:r>
              </m:e>
              <m:sub>
                <m:r>
                  <m:t>1</m:t>
                </m:r>
              </m:sub>
            </m:sSub>
            <m:r>
              <m:rPr>
                <m:sty m:val="p"/>
              </m:rPr>
              <m:t>+</m:t>
            </m:r>
            <m:r>
              <m:t>1</m:t>
            </m:r>
          </m:den>
        </m:f>
        <m:r>
          <m:rPr>
            <m:sty m:val="p"/>
          </m:rPr>
          <m:t>≥</m:t>
        </m:r>
        <m:r>
          <m:t>1</m:t>
        </m:r>
        <m:r>
          <m:rPr>
            <m:sty m:val="p"/>
          </m:rPr>
          <m:t>−</m:t>
        </m:r>
        <m:r>
          <m:t>α</m:t>
        </m:r>
      </m:oMath>
      <w:r>
        <w:t xml:space="preserve">.</w:t>
      </w:r>
      <w:r>
        <w:t xml:space="preserve"> </w:t>
      </w:r>
      <m:oMath>
        <m:r>
          <m:rPr>
            <m:sty m:val="p"/>
          </m:rPr>
          <m:t>▫</m:t>
        </m:r>
      </m:oMath>
    </w:p>
    <w:p>
      <w:pPr>
        <w:pStyle w:val="BodyText"/>
        <w:jc w:val="both"/>
      </w:pPr>
      <w:r>
        <w:t xml:space="preserve">When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the guarantee (2) holds vacuously and conveys nothing.</w:t>
      </w:r>
    </w:p>
    <w:p>
      <w:pPr>
        <w:pStyle w:val="BodyText"/>
        <w:jc w:val="both"/>
      </w:pPr>
      <w:r>
        <w:rPr>
          <w:b/>
          <w:bCs/>
        </w:rPr>
        <w:t xml:space="preserve">Corollary 1.1 (independence of</w:t>
      </w:r>
      <w:r>
        <w:rPr>
          <w:b/>
          <w:bCs/>
        </w:rPr>
        <w:t xml:space="preserve"> </w:t>
      </w:r>
      <m:oMath>
        <m:sSub>
          <m:e>
            <m:r>
              <m:t>N</m:t>
            </m:r>
          </m:e>
          <m:sub>
            <m:r>
              <m:t>k</m:t>
            </m:r>
          </m:sub>
        </m:sSub>
      </m:oMath>
      <w:r>
        <w:rPr>
          <w:b/>
          <w:bCs/>
        </w:rPr>
        <w:t xml:space="preserve">).</w:t>
      </w:r>
      <w:r>
        <w:t xml:space="preserve"> </w:t>
      </w:r>
      <w:r>
        <w:t xml:space="preserve">The right-hand side of (3) does not involve</w:t>
      </w:r>
      <w:r>
        <w:t xml:space="preserve"> </w:t>
      </w:r>
      <m:oMath>
        <m:sSub>
          <m:e>
            <m:r>
              <m:t>N</m:t>
            </m:r>
          </m:e>
          <m:sub>
            <m:r>
              <m:t>k</m:t>
            </m:r>
          </m:sub>
        </m:sSub>
      </m:oMath>
      <w:r>
        <w:t xml:space="preserve">. Collecting more measurements per block can never restore feasibility, no matter how many are collected.</w:t>
      </w:r>
    </w:p>
    <w:p>
      <w:pPr>
        <w:pStyle w:val="BodyText"/>
        <w:jc w:val="both"/>
      </w:pPr>
      <w:r>
        <w:rPr>
          <w:b/>
          <w:bCs/>
        </w:rPr>
        <w:t xml:space="preserve">Corollary 1.2.</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blocks, not 20.</w:t>
      </w:r>
    </w:p>
    <w:p>
      <w:pPr>
        <w:pStyle w:val="BodyText"/>
        <w:jc w:val="both"/>
      </w:pPr>
      <w:r>
        <w:rPr>
          <w:b/>
          <w:bCs/>
        </w:rPr>
        <w:t xml:space="preserve">Corollary 1.3 (consistency with split conformal).</w:t>
      </w:r>
      <w:r>
        <w:t xml:space="preserve"> </w:t>
      </w:r>
      <w:r>
        <w:t xml:space="preserve">If</w:t>
      </w:r>
      <w:r>
        <w:t xml:space="preserve"> </w:t>
      </w:r>
      <m:oMath>
        <m:sSub>
          <m:e>
            <m:r>
              <m:t>N</m:t>
            </m:r>
          </m:e>
          <m:sub>
            <m:r>
              <m:t>k</m:t>
            </m:r>
          </m:sub>
        </m:sSub>
        <m:r>
          <m:rPr>
            <m:sty m:val="p"/>
          </m:rPr>
          <m:t>=</m:t>
        </m:r>
        <m:r>
          <m:t>1</m:t>
        </m:r>
      </m:oMath>
      <w:r>
        <w:t xml:space="preserve"> </w:t>
      </w:r>
      <w:r>
        <w:t xml:space="preserve">for all</w:t>
      </w:r>
      <w:r>
        <w:t xml:space="preserve"> </w:t>
      </w:r>
      <m:oMath>
        <m:r>
          <m:t>k</m:t>
        </m:r>
      </m:oMath>
      <w:r>
        <w:t xml:space="preserve"> </w:t>
      </w:r>
      <w:r>
        <w:t xml:space="preserve">then</w:t>
      </w:r>
      <w:r>
        <w:t xml:space="preserve"> </w:t>
      </w:r>
      <m:oMath>
        <m:sSub>
          <m:e>
            <m:r>
              <m:t>K</m:t>
            </m:r>
          </m:e>
          <m:sub>
            <m:r>
              <m:t>1</m:t>
            </m:r>
          </m:sub>
        </m:sSub>
        <m:r>
          <m:rPr>
            <m:sty m:val="p"/>
          </m:rPr>
          <m:t>=</m:t>
        </m:r>
        <m:r>
          <m:t>n</m:t>
        </m:r>
      </m:oMath>
      <w:r>
        <w:t xml:space="preserve"> </w:t>
      </w:r>
      <w:r>
        <w:t xml:space="preserve">and (3) reduces to</w:t>
      </w:r>
      <w:r>
        <w:t xml:space="preserve"> </w:t>
      </w:r>
      <m:oMath>
        <m:r>
          <m:t>n</m:t>
        </m:r>
        <m:r>
          <m:rPr>
            <m:sty m:val="p"/>
          </m:rPr>
          <m:t>≥</m:t>
        </m:r>
        <m:r>
          <m:t>1</m:t>
        </m:r>
        <m:r>
          <m:rPr>
            <m:sty m:val="p"/>
          </m:rPr>
          <m:t>/</m:t>
        </m:r>
        <m:r>
          <m:t>α</m:t>
        </m:r>
        <m:r>
          <m:rPr>
            <m:sty m:val="p"/>
          </m:rPr>
          <m:t>−</m:t>
        </m:r>
        <m:r>
          <m:t>1</m:t>
        </m:r>
      </m:oMath>
      <w:r>
        <w:t xml:space="preserve">, the textbook requirement for split conformal. We verified this numerically as a check on both the derivation and the implementation.</w:t>
      </w:r>
    </w:p>
    <w:p>
      <w:pPr>
        <w:pStyle w:val="BodyText"/>
        <w:jc w:val="both"/>
      </w:pPr>
      <w:r>
        <w:rPr>
          <w:b/>
          <w:bCs/>
        </w:rPr>
        <w:t xml:space="preserve">Remark (strictness).</w:t>
      </w:r>
      <w:r>
        <w:t xml:space="preserve"> </w:t>
      </w:r>
      <w:r>
        <w:t xml:space="preserve">An earlier version of this work stated (3) as a strict inequality. That is wrong at the boundary: at</w:t>
      </w:r>
      <w:r>
        <w:t xml:space="preserve"> </w:t>
      </w:r>
      <m:oMath>
        <m:r>
          <m:t>α</m:t>
        </m:r>
        <m:r>
          <m:rPr>
            <m:sty m:val="p"/>
          </m:rPr>
          <m:t>=</m:t>
        </m:r>
        <m:f>
          <m:fPr>
            <m:type m:val="bar"/>
          </m:fPr>
          <m:num>
            <m:r>
              <m:t>1</m:t>
            </m:r>
          </m:num>
          <m:den>
            <m:sSub>
              <m:e>
                <m:r>
                  <m:t>K</m:t>
                </m:r>
              </m:e>
              <m:sub>
                <m:r>
                  <m:t>1</m:t>
                </m:r>
              </m:sub>
            </m:sSub>
            <m:r>
              <m:rPr>
                <m:sty m:val="p"/>
              </m:rPr>
              <m:t>+</m:t>
            </m:r>
            <m:r>
              <m:t>1</m:t>
            </m:r>
          </m:den>
        </m:f>
      </m:oMath>
      <w:r>
        <w:t xml:space="preserve"> </w:t>
      </w:r>
      <w:r>
        <w:t xml:space="preserve">exactly, the finite mass</w:t>
      </w:r>
      <w:r>
        <w:t xml:space="preserve"> </w:t>
      </w:r>
      <m:oMath>
        <m:f>
          <m:fPr>
            <m:type m:val="bar"/>
          </m:fPr>
          <m:num>
            <m:sSub>
              <m:e>
                <m:r>
                  <m:t>K</m:t>
                </m:r>
              </m:e>
              <m:sub>
                <m:r>
                  <m:t>1</m:t>
                </m:r>
              </m:sub>
            </m:sSub>
          </m:num>
          <m:den>
            <m:sSub>
              <m:e>
                <m:r>
                  <m:t>K</m:t>
                </m:r>
              </m:e>
              <m:sub>
                <m:r>
                  <m:t>1</m:t>
                </m:r>
              </m:sub>
            </m:sSub>
            <m:r>
              <m:rPr>
                <m:sty m:val="p"/>
              </m:rPr>
              <m:t>+</m:t>
            </m:r>
            <m:r>
              <m:t>1</m:t>
            </m:r>
          </m:den>
        </m:f>
      </m:oMath>
      <w:r>
        <w:t xml:space="preserve"> </w:t>
      </w:r>
      <w:r>
        <w:rPr>
          <w:i/>
          <w:iCs/>
        </w:rPr>
        <w:t xml:space="preserve">equals</w:t>
      </w:r>
      <w:r>
        <w:t xml:space="preserve"> </w:t>
      </w:r>
      <w:r>
        <w:t xml:space="preserve">the level</w:t>
      </w:r>
      <w:r>
        <w:t xml:space="preserve"> </w:t>
      </w:r>
      <m:oMath>
        <m:r>
          <m:t>1</m:t>
        </m:r>
        <m:r>
          <m:rPr>
            <m:sty m:val="p"/>
          </m:rPr>
          <m:t>−</m:t>
        </m:r>
        <m:r>
          <m:t>α</m:t>
        </m:r>
      </m:oMath>
      <w:r>
        <w:t xml:space="preserve">, so the infimum is attained at</w:t>
      </w:r>
      <w:r>
        <w:t xml:space="preserve"> </w:t>
      </w:r>
      <m:oMath>
        <m:r>
          <m:t>M</m:t>
        </m:r>
      </m:oMath>
      <w:r>
        <w:t xml:space="preserve"> </w:t>
      </w:r>
      <w:r>
        <w:t xml:space="preserve">and the threshold is finite. Simulation at</w:t>
      </w:r>
      <w:r>
        <w:t xml:space="preserve"> </w:t>
      </w:r>
      <m:oMath>
        <m:sSub>
          <m:e>
            <m:r>
              <m:t>K</m:t>
            </m:r>
          </m:e>
          <m:sub>
            <m:r>
              <m:t>1</m:t>
            </m:r>
          </m:sub>
        </m:sSub>
        <m:r>
          <m:rPr>
            <m:sty m:val="p"/>
          </m:rPr>
          <m:t>=</m:t>
        </m:r>
        <m:r>
          <m:t>19</m:t>
        </m:r>
        <m:r>
          <m:rPr>
            <m:sty m:val="p"/>
          </m:rPr>
          <m:t>,</m:t>
        </m:r>
        <m:r>
          <m:t>α</m:t>
        </m:r>
        <m:r>
          <m:rPr>
            <m:sty m:val="p"/>
          </m:rPr>
          <m:t>=</m:t>
        </m:r>
        <m:r>
          <m:t>0.05</m:t>
        </m:r>
      </m:oMath>
      <w:r>
        <w:t xml:space="preserve"> </w:t>
      </w:r>
      <w:r>
        <w:t xml:space="preserve">gives empirical coverage</w:t>
      </w:r>
      <w:r>
        <w:t xml:space="preserve"> </w:t>
      </w:r>
      <m:oMath>
        <m:r>
          <m:t>0.9512</m:t>
        </m:r>
        <m:r>
          <m:rPr>
            <m:sty m:val="p"/>
          </m:rPr>
          <m:t>≥</m:t>
        </m:r>
        <m:r>
          <m:t>0.95</m:t>
        </m:r>
      </m:oMath>
      <w:r>
        <w:t xml:space="preserve">. We report the correction because the non-strict form is what makes Corollary 1.3 line up with the standard split-conformal condition — a useful cross-check for readers.</w:t>
      </w:r>
    </w:p>
    <w:bookmarkEnd w:id="19"/>
    <w:bookmarkStart w:id="20" w:name="X1fa66aeff815efda11a4c9af10795ff76629295"/>
    <w:p>
      <w:pPr>
        <w:pStyle w:val="Heading2"/>
      </w:pPr>
      <w:r>
        <w:t xml:space="preserve">4.2 Multiple dependence sources and crossed designs</w:t>
      </w:r>
    </w:p>
    <w:p>
      <w:pPr>
        <w:pStyle w:val="FirstParagraph"/>
        <w:jc w:val="both"/>
      </w:pPr>
      <w:r>
        <w:t xml:space="preserve">Real clinical datasets carry several candidate blocking variables at once: patient, device, operator, site. These need not be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 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entirely inside a single</w:t>
      </w:r>
      <w:r>
        <w:t xml:space="preserve"> </w:t>
      </w:r>
      <m:oMath>
        <m:r>
          <m:rPr>
            <m:scr m:val="script"/>
            <m:sty m:val="p"/>
          </m:rPr>
          <m:t>Q</m:t>
        </m:r>
      </m:oMath>
      <w:r>
        <w:t xml:space="preserve">-block.</w:t>
      </w:r>
    </w:p>
    <w:p>
      <w:pPr>
        <w:pStyle w:val="BodyText"/>
        <w:jc w:val="both"/>
      </w:pPr>
      <w:r>
        <w:t xml:space="preserve">If</w:t>
      </w:r>
      <w:r>
        <w:t xml:space="preserve"> </w:t>
      </w:r>
      <m:oMath>
        <m:r>
          <m:rPr>
            <m:scr m:val="script"/>
            <m:sty m:val="p"/>
          </m:rPr>
          <m:t>Q</m:t>
        </m:r>
      </m:oMath>
      <w:r>
        <w:t xml:space="preserve"> </w:t>
      </w:r>
      <w:r>
        <w:t xml:space="preserve">is not sufficient for</w:t>
      </w:r>
      <w:r>
        <w:t xml:space="preserve"> </w:t>
      </w:r>
      <m:oMath>
        <m:r>
          <m:rPr>
            <m:scr m:val="script"/>
            <m:sty m:val="p"/>
          </m:rPr>
          <m:t>P</m:t>
        </m:r>
      </m:oMath>
      <w:r>
        <w:t xml:space="preserve">, then dependent observations are split across different</w:t>
      </w:r>
      <w:r>
        <w:t xml:space="preserve"> </w:t>
      </w:r>
      <m:oMath>
        <m:r>
          <m:rPr>
            <m:scr m:val="script"/>
            <m:sty m:val="p"/>
          </m:rPr>
          <m:t>Q</m:t>
        </m:r>
      </m:oMath>
      <w:r>
        <w:t xml:space="preserve">-blocks and are treated as independent — exactly the error the hierarchical machinery exists to prevent.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 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 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 the partition lattice: the connected components of the graph linking two 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 This is a standard fact about the partition lattice; we state it because its consequence for conformal calibration is what matters here.</w:t>
      </w:r>
    </w:p>
    <w:p>
      <w:pPr>
        <w:pStyle w:val="BodyText"/>
      </w:pPr>
      <w:r>
        <w:rPr>
          <w:b/>
          <w:bCs/>
        </w:rPr>
        <w:t xml:space="preserve">Corollary 2.1.</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hence</w:t>
      </w:r>
    </w:p>
    <w:p>
      <w:pPr>
        <w:pStyle w:val="BodyText"/>
      </w:pPr>
      <m:oMathPara>
        <m:oMathParaPr>
          <m:jc m:val="center"/>
        </m:oMathParaP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t> </m:t>
          </m:r>
          <m:r>
            <m:rPr>
              <m:sty m:val="p"/>
            </m:rPr>
            <m:t>≥</m:t>
          </m:r>
          <m:r>
            <m:t> </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r>
            <m:rPr>
              <m:sty m:val="p"/>
            </m:rPr>
            <m:t>.</m:t>
          </m:r>
        </m:oMath>
      </m:oMathPara>
    </w:p>
    <w:p>
      <w:pPr>
        <w:pStyle w:val="FirstParagraph"/>
        <w:jc w:val="both"/>
      </w:pPr>
      <w:r>
        <w:rPr>
          <w:b/>
          <w:bCs/>
        </w:rPr>
        <w:t xml:space="preserve">Corollary 2.2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w:t>
      </w:r>
      <w:r>
        <w:t xml:space="preserve">then no HCP calibration yields a non-trivial guarantee at level</w:t>
      </w:r>
      <w:r>
        <w:t xml:space="preserve"> </w:t>
      </w:r>
      <m:oMath>
        <m:r>
          <m:t>α</m:t>
        </m:r>
      </m:oMath>
      <w:r>
        <w:t xml:space="preserve"> </w:t>
      </w:r>
      <w:r>
        <w:t xml:space="preserve">while accounting for both dependence sources. The same holds for any number of sources with their joint join. This is a property of the study design, not a shortcoming of any estimator.</w:t>
      </w:r>
    </w:p>
    <w:p>
      <w:pPr>
        <w:pStyle w:val="BodyText"/>
        <w:jc w:val="both"/>
      </w:pPr>
      <w:r>
        <w:rPr>
          <w:b/>
          <w:bCs/>
        </w:rPr>
        <w:t xml:space="preserve">Scope of Corollary 2.2.</w:t>
      </w:r>
      <w:r>
        <w:t xml:space="preserve"> </w:t>
      </w:r>
      <w:r>
        <w:t xml:space="preserve">We prove Corollary 2.2 for the HCP/Dunn family. Whether it extends to every distribution-free method whose validity rests on between-block exchangeability remains open. We conjecture that it does, by analogy with the unavoidability of the</w:t>
      </w:r>
      <w:r>
        <w:t xml:space="preserve"> </w:t>
      </w:r>
      <m:oMath>
        <m:r>
          <m:t>n</m:t>
        </m:r>
        <m:r>
          <m:rPr>
            <m:sty m:val="p"/>
          </m:rPr>
          <m:t>≥</m:t>
        </m:r>
        <m:r>
          <m:t>1</m:t>
        </m:r>
        <m:r>
          <m:rPr>
            <m:sty m:val="p"/>
          </m:rPr>
          <m:t>/</m:t>
        </m:r>
        <m:r>
          <m:t>α</m:t>
        </m:r>
        <m:r>
          <m:rPr>
            <m:sty m:val="p"/>
          </m:rPr>
          <m:t>−</m:t>
        </m:r>
        <m:r>
          <m:t>1</m:t>
        </m:r>
      </m:oMath>
      <w:r>
        <w:t xml:space="preserve"> </w:t>
      </w:r>
      <w:r>
        <w:t xml:space="preserve">requirement for split conformal, but we do not claim it.</w:t>
      </w:r>
    </w:p>
    <w:bookmarkEnd w:id="20"/>
    <w:bookmarkStart w:id="21" w:name="X97431b323c4987209ce3ec216df687e6d054f79"/>
    <w:p>
      <w:pPr>
        <w:pStyle w:val="Heading2"/>
      </w:pPr>
      <w:r>
        <w:t xml:space="preserve">4.3 What the guarantee is</w:t>
      </w:r>
      <w:r>
        <w:t xml:space="preserve"> </w:t>
      </w:r>
      <w:r>
        <w:rPr>
          <w:i/>
          <w:iCs/>
        </w:rPr>
        <w:t xml:space="preserve">about</w:t>
      </w:r>
      <w:r>
        <w:t xml:space="preserve">: multi-label targets</w:t>
      </w:r>
    </w:p>
    <w:p>
      <w:pPr>
        <w:pStyle w:val="FirstParagraph"/>
        <w:jc w:val="both"/>
      </w:pPr>
      <w:r>
        <w:t xml:space="preserve">For multi-label outputs the notion of coverage must be chosen, not inherited. We use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Superset coverage (4) is not a new result. Theorem 1 never touches the structure of the label space; it only requires a fixed scalar score. Setting</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makes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 so HCP applies unchanged. We present this as method, not contribution.</w:t>
      </w:r>
    </w:p>
    <w:p>
      <w:pPr>
        <w:pStyle w:val="BodyText"/>
      </w:pPr>
      <w:r>
        <w:t xml:space="preserve">The substantive question is the label-conditional 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pPr>
      <w:r>
        <w:t xml:space="preserve">which does not reduce, and which we take up in §5.3.</w:t>
      </w:r>
    </w:p>
    <w:p>
      <w:pPr>
        <w:pStyle w:val="BodyText"/>
        <w:jc w:val="both"/>
      </w:pPr>
      <w:r>
        <w:rPr>
          <w:b/>
          <w:bCs/>
        </w:rPr>
        <w:t xml:space="preserve">Records with</w:t>
      </w:r>
      <w:r>
        <w:rPr>
          <w:b/>
          <w:bCs/>
        </w:rPr>
        <w:t xml:space="preserve"> </w:t>
      </w:r>
      <m:oMath>
        <m:r>
          <m:t>Y</m:t>
        </m:r>
        <m:r>
          <m:rPr>
            <m:sty m:val="p"/>
          </m:rPr>
          <m:t>=</m:t>
        </m:r>
        <m:r>
          <m:rPr>
            <m:sty m:val="p"/>
          </m:rPr>
          <m:t>∅</m:t>
        </m:r>
      </m:oMath>
      <w:r>
        <w:rPr>
          <w:b/>
          <w:bCs/>
        </w:rPr>
        <w:t xml:space="preserve">.</w:t>
      </w:r>
      <w:r>
        <w:t xml:space="preserve"> </w:t>
      </w:r>
      <w:r>
        <w:t xml:space="preserve">In PTB-XL, 411 recordings (1.9%) carry no diagnostic superclass. Under (4) these are covered trivially, so including them would inflate measured coverage without evidence. We exclude them from calibration and evaluation and report the exclusion.</w:t>
      </w:r>
    </w:p>
    <w:bookmarkEnd w:id="21"/>
    <w:bookmarkEnd w:id="22"/>
    <w:bookmarkStart w:id="36" w:name="methods"/>
    <w:p>
      <w:pPr>
        <w:pStyle w:val="Heading1"/>
      </w:pPr>
      <w:r>
        <w:t xml:space="preserve">5. Methods</w:t>
      </w:r>
    </w:p>
    <w:p>
      <w:pPr>
        <w:pStyle w:val="FirstParagraph"/>
        <w:jc w:val="both"/>
      </w:pPr>
      <w:r>
        <w:t xml:space="preserve">This study introduces no new conformal procedure. It audits an existing one —</w:t>
      </w:r>
      <w:r>
        <w:t xml:space="preserve"> </w:t>
      </w:r>
      <w:r>
        <w:t xml:space="preserve">hierarchical conformal prediction (HCP) [13] — on clinical ECG data, using three</w:t>
      </w:r>
      <w:r>
        <w:t xml:space="preserve"> </w:t>
      </w:r>
      <w:r>
        <w:t xml:space="preserve">diagnostics assembled from established results. We state the provenance of each</w:t>
      </w:r>
      <w:r>
        <w:t xml:space="preserve"> </w:t>
      </w:r>
      <w:r>
        <w:t xml:space="preserve">diagnostic where it is introduced, so that the reader can separate the tools we</w:t>
      </w:r>
      <w:r>
        <w:t xml:space="preserve"> </w:t>
      </w:r>
      <w:r>
        <w:t xml:space="preserve">borrow from the findings we report in §8.</w:t>
      </w:r>
    </w:p>
    <w:p>
      <w:pPr>
        <w:pStyle w:val="BodyText"/>
        <w:jc w:val="both"/>
      </w:pPr>
      <w:r>
        <w:t xml:space="preserve">Throughout,</w:t>
      </w:r>
      <w:r>
        <w:t xml:space="preserve"> </w:t>
      </w:r>
      <m:oMath>
        <m:sSub>
          <m:e>
            <m:r>
              <m:t>K</m:t>
            </m:r>
          </m:e>
          <m:sub>
            <m:r>
              <m:t>1</m:t>
            </m:r>
          </m:sub>
        </m:sSub>
      </m:oMath>
      <w:r>
        <w:t xml:space="preserve"> </w:t>
      </w:r>
      <w:r>
        <w:t xml:space="preserve">denotes the number of calibration blocks,</w:t>
      </w:r>
      <w:r>
        <w:t xml:space="preserve"> </w:t>
      </w:r>
      <m:oMath>
        <m:sSub>
          <m:e>
            <m:r>
              <m:t>N</m:t>
            </m:r>
          </m:e>
          <m:sub>
            <m:r>
              <m:t>k</m:t>
            </m:r>
          </m:sub>
        </m:sSub>
      </m:oMath>
      <w:r>
        <w:t xml:space="preserve"> </w:t>
      </w:r>
      <w:r>
        <w:t xml:space="preserve">the number of</w:t>
      </w:r>
      <w:r>
        <w:t xml:space="preserve"> </w:t>
      </w:r>
      <w:r>
        <w:t xml:space="preserve">observations in block</w:t>
      </w:r>
      <w:r>
        <w:t xml:space="preserve"> </w:t>
      </w:r>
      <m:oMath>
        <m:r>
          <m:t>k</m:t>
        </m:r>
      </m:oMath>
      <w:r>
        <w:t xml:space="preserve">,</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the harmonic mean of the</w:t>
      </w:r>
      <w:r>
        <w:t xml:space="preserve"> </w:t>
      </w:r>
      <m:oMath>
        <m:sSub>
          <m:e>
            <m:r>
              <m:t>N</m:t>
            </m:r>
          </m:e>
          <m:sub>
            <m:r>
              <m:t>k</m:t>
            </m:r>
          </m:sub>
        </m:sSub>
      </m:oMath>
      <w:r>
        <w:t xml:space="preserve">.</w:t>
      </w:r>
      <w:r>
        <w:t xml:space="preserve"> </w:t>
      </w:r>
      <w:r>
        <w:t xml:space="preserve">We write</w:t>
      </w:r>
      <w:r>
        <w:t xml:space="preserve"> </w:t>
      </w:r>
      <m:oMath>
        <m:r>
          <m:t>ρ</m:t>
        </m:r>
        <m:r>
          <m:rPr>
            <m:sty m:val="p"/>
          </m:rPr>
          <m:t>(</m:t>
        </m:r>
        <m:r>
          <m:t>t</m:t>
        </m:r>
        <m:r>
          <m:rPr>
            <m:sty m:val="p"/>
          </m:rPr>
          <m:t>)</m:t>
        </m:r>
      </m:oMath>
      <w:r>
        <w:t xml:space="preserve"> </w:t>
      </w:r>
      <w:r>
        <w:t xml:space="preserve">for the intraclass correlation of the indicator</w:t>
      </w:r>
      <w:r>
        <w:t xml:space="preserve"> </w:t>
      </w:r>
      <m:oMath>
        <m:r>
          <m:rPr>
            <m:scr m:val="double-struck"/>
            <m:sty m:val="p"/>
          </m:rPr>
          <m:t>1</m:t>
        </m:r>
        <m:r>
          <m:rPr>
            <m:sty m:val="p"/>
          </m:rPr>
          <m:t>{</m:t>
        </m:r>
        <m:r>
          <m:t>s</m:t>
        </m:r>
        <m:r>
          <m:rPr>
            <m:sty m:val="p"/>
          </m:rPr>
          <m:t>≤</m:t>
        </m:r>
        <m:r>
          <m:t>t</m:t>
        </m:r>
        <m:r>
          <m:rPr>
            <m:sty m:val="p"/>
          </m:rPr>
          <m:t>}</m:t>
        </m:r>
      </m:oMath>
      <w:r>
        <w:t xml:space="preserve"> </w:t>
      </w:r>
      <w:r>
        <w:t xml:space="preserve">at threshold</w:t>
      </w:r>
      <w:r>
        <w:t xml:space="preserve"> </w:t>
      </w:r>
      <m:oMath>
        <m:r>
          <m:t>t</m:t>
        </m:r>
      </m:oMath>
      <w:r>
        <w:t xml:space="preserve"> </w:t>
      </w:r>
      <w:r>
        <w:t xml:space="preserve">— not of the raw score.</w:t>
      </w:r>
    </w:p>
    <w:bookmarkStart w:id="27" w:name="X19d174b7dd8885c97c8015fa73b4f6a91b5078d"/>
    <w:p>
      <w:pPr>
        <w:pStyle w:val="Heading2"/>
      </w:pPr>
      <w:r>
        <w:t xml:space="preserve">5.1 Whether a finite threshold exists, and how precise it is</w:t>
      </w:r>
    </w:p>
    <w:bookmarkStart w:id="23" w:name="X6a4b6b3faa779bc7a446fea215c499cb0cc96f8"/>
    <w:p>
      <w:pPr>
        <w:pStyle w:val="Heading3"/>
      </w:pPr>
      <w:r>
        <w:t xml:space="preserve">5.1.1 Existence depends on the number of calibration blocks alone</w:t>
      </w:r>
    </w:p>
    <w:p>
      <w:pPr>
        <w:pStyle w:val="FirstParagraph"/>
        <w:jc w:val="both"/>
      </w:pPr>
      <w:r>
        <w:t xml:space="preserve">By Proposition 1 (§4.1), a finite HCP threshold exists if and only if</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The proposition restates a consequence of the</w:t>
      </w:r>
      <w:r>
        <w:t xml:space="preserve"> </w:t>
      </w:r>
      <m:oMath>
        <m:r>
          <m:rPr>
            <m:sty m:val="p"/>
          </m:rPr>
          <m:t>+</m:t>
        </m:r>
        <m:r>
          <m:rPr>
            <m:sty m:val="p"/>
          </m:rPr>
          <m:t>∞</m:t>
        </m:r>
      </m:oMath>
      <w:r>
        <w:t xml:space="preserve"> </w:t>
      </w:r>
      <w:r>
        <w:t xml:space="preserve">atom in Theorem 1 of [13] in a form that can be checked from metadata, and we</w:t>
      </w:r>
      <w:r>
        <w:t xml:space="preserve"> </w:t>
      </w:r>
      <w:r>
        <w:t xml:space="preserve">claim nothing beyond that. Two consequences matter for the audit. First, the</w:t>
      </w:r>
      <w:r>
        <w:t xml:space="preserve"> </w:t>
      </w:r>
      <w:r>
        <w:t xml:space="preserve">boundary does not involve</w:t>
      </w:r>
      <w:r>
        <w:t xml:space="preserve"> </w:t>
      </w:r>
      <m:oMath>
        <m:sSub>
          <m:e>
            <m:r>
              <m:t>N</m:t>
            </m:r>
          </m:e>
          <m:sub>
            <m:r>
              <m:t>k</m:t>
            </m:r>
          </m:sub>
        </m:sSub>
      </m:oMath>
      <w:r>
        <w:t xml:space="preserve">: adding observations to existing blocks cannot</w:t>
      </w:r>
      <w:r>
        <w:t xml:space="preserve"> </w:t>
      </w:r>
      <w:r>
        <w:t xml:space="preserve">make an infeasible level feasible. Second, the inequality is not strict, so a</w:t>
      </w:r>
      <w:r>
        <w:t xml:space="preserve"> </w:t>
      </w:r>
      <w:r>
        <w:t xml:space="preserve">grouping whose</w:t>
      </w:r>
      <w:r>
        <w:t xml:space="preserve"> </w:t>
      </w:r>
      <m:oMath>
        <m:sSub>
          <m:e>
            <m:r>
              <m:t>K</m:t>
            </m:r>
          </m:e>
          <m:sub>
            <m:r>
              <m:t>1</m:t>
            </m:r>
          </m:sub>
        </m:sSub>
      </m:oMath>
      <w:r>
        <w:t xml:space="preserve"> </w:t>
      </w:r>
      <w:r>
        <w:t xml:space="preserve">lies exactly on the boundary is feasible; an off-by-one here</w:t>
      </w:r>
      <w:r>
        <w:t xml:space="preserve"> </w:t>
      </w:r>
      <w:r>
        <w:t xml:space="preserve">would silently misreport it.</w:t>
      </w:r>
    </w:p>
    <w:bookmarkEnd w:id="23"/>
    <w:bookmarkStart w:id="24" w:name="X398c41a3c724c9e4f6e1f582e1187153082b854"/>
    <w:p>
      <w:pPr>
        <w:pStyle w:val="Heading3"/>
      </w:pPr>
      <w:r>
        <w:t xml:space="preserve">5.1.2 Precision under a compound-symmetric model</w:t>
      </w:r>
    </w:p>
    <w:p>
      <w:pPr>
        <w:pStyle w:val="FirstParagraph"/>
        <w:jc w:val="both"/>
      </w:pPr>
      <w:r>
        <w:t xml:space="preserve">What follows is not distribution-free. It requires Assumption (A): blocks</w:t>
      </w:r>
      <w:r>
        <w:t xml:space="preserve"> </w:t>
      </w:r>
      <w:r>
        <w:t xml:space="preserve">are independent and identically distributed, and within a block every pair of</w:t>
      </w:r>
      <w:r>
        <w:t xml:space="preserve"> </w:t>
      </w:r>
      <w:r>
        <w:t xml:space="preserve">indicators has the same correlation</w:t>
      </w:r>
      <w:r>
        <w:t xml:space="preserve"> </w:t>
      </w:r>
      <m:oMath>
        <m:r>
          <m:t>ρ</m:t>
        </m:r>
        <m:r>
          <m:rPr>
            <m:sty m:val="p"/>
          </m:rPr>
          <m:t>(</m:t>
        </m:r>
        <m:r>
          <m:t>t</m:t>
        </m:r>
        <m:r>
          <m:rPr>
            <m:sty m:val="p"/>
          </m:rPr>
          <m:t>)</m:t>
        </m:r>
      </m:oMath>
      <w:r>
        <w:t xml:space="preserve">, not depending on</w:t>
      </w:r>
      <w:r>
        <w:t xml:space="preserve"> </w:t>
      </w:r>
      <m:oMath>
        <m:sSub>
          <m:e>
            <m:r>
              <m:t>N</m:t>
            </m:r>
          </m:e>
          <m:sub>
            <m:r>
              <m:t>k</m:t>
            </m:r>
          </m:sub>
        </m:sSub>
      </m:oMath>
      <w:r>
        <w:t xml:space="preserve"> </w:t>
      </w:r>
      <w:r>
        <w:t xml:space="preserve">(compound symmetry).</w:t>
      </w:r>
    </w:p>
    <w:p>
      <w:pPr>
        <w:pStyle w:val="BodyText"/>
        <w:jc w:val="both"/>
      </w:pPr>
      <w:r>
        <w:t xml:space="preserve">Rewriting the HCP threshold shows that it is determined by</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mean of block-level</w:t>
      </w:r>
      <w:r>
        <w:t xml:space="preserve"> </w:t>
      </w:r>
      <w:r>
        <w:t xml:space="preserve">empirical CDFs. Under (A), the standard variance of an unweighted mean of cluster</w:t>
      </w:r>
      <w:r>
        <w:t xml:space="preserve"> </w:t>
      </w:r>
      <w:r>
        <w:t xml:space="preserve">means applies [37]:</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(6)</m:t>
          </m:r>
        </m:oMath>
      </m:oMathPara>
    </w:p>
    <w:p>
      <w:pPr>
        <w:pStyle w:val="FirstParagraph"/>
        <w:jc w:val="both"/>
      </w:pPr>
      <w:r>
        <w:t xml:space="preserve">Under (A) the variance tends to</w:t>
      </w:r>
      <w:r>
        <w:t xml:space="preserve"> </w:t>
      </w:r>
      <m:oMath>
        <m:sSup>
          <m:e>
            <m:r>
              <m:t>σ</m:t>
            </m:r>
          </m:e>
          <m:sup>
            <m:r>
              <m:t>2</m:t>
            </m:r>
          </m:sup>
        </m:sSup>
        <m:r>
          <m:t>ρ</m:t>
        </m:r>
        <m:r>
          <m:rPr>
            <m:sty m:val="p"/>
          </m:rPr>
          <m:t>/</m:t>
        </m:r>
        <m:sSub>
          <m:e>
            <m:r>
              <m:t>K</m:t>
            </m:r>
          </m:e>
          <m:sub>
            <m:r>
              <m:t>1</m:t>
            </m:r>
          </m:sub>
        </m:sSub>
      </m:oMath>
      <w:r>
        <w:t xml:space="preserve"> </w:t>
      </w:r>
      <w:r>
        <w:t xml:space="preserve">as</w:t>
      </w:r>
      <w:r>
        <w:t xml:space="preserve"> </w:t>
      </w:r>
      <m:oMath>
        <m:sSub>
          <m:e>
            <m:r>
              <m:t>N</m:t>
            </m:r>
          </m:e>
          <m:sub>
            <m:r>
              <m:t>k</m:t>
            </m:r>
          </m:sub>
        </m:sSub>
        <m:r>
          <m:rPr>
            <m:sty m:val="p"/>
          </m:rPr>
          <m:t>→</m:t>
        </m:r>
        <m:r>
          <m:rPr>
            <m:sty m:val="p"/>
          </m:rPr>
          <m:t>∞</m:t>
        </m:r>
      </m:oMath>
      <w:r>
        <w:t xml:space="preserve">. This floor</w:t>
      </w:r>
      <w:r>
        <w:t xml:space="preserve"> </w:t>
      </w:r>
      <w:r>
        <w:t xml:space="preserve">is a property of compound symmetry, not of clustered data in general. If</w:t>
      </w:r>
      <w:r>
        <w:t xml:space="preserve"> </w:t>
      </w:r>
      <w:r>
        <w:t xml:space="preserve">within-block correlation decays with separation — as plausibly holds for</w:t>
      </w:r>
      <w:r>
        <w:t xml:space="preserve"> </w:t>
      </w:r>
      <w:r>
        <w:t xml:space="preserve">consecutive beats within a long Holter record — the mean pairwise correlation can</w:t>
      </w:r>
      <w:r>
        <w:t xml:space="preserve"> </w:t>
      </w:r>
      <w:r>
        <w:t xml:space="preserve">shrink with</w:t>
      </w:r>
      <w:r>
        <w:t xml:space="preserve"> </w:t>
      </w:r>
      <m:oMath>
        <m:sSub>
          <m:e>
            <m:r>
              <m:t>N</m:t>
            </m:r>
          </m:e>
          <m:sub>
            <m:r>
              <m:t>k</m:t>
            </m:r>
          </m:sub>
        </m:sSub>
      </m:oMath>
      <w:r>
        <w:t xml:space="preserve"> </w:t>
      </w:r>
      <w:r>
        <w:t xml:space="preserve">and the floor disappears. We make no claim outside (A).</w:t>
      </w:r>
    </w:p>
    <w:bookmarkEnd w:id="24"/>
    <w:bookmarkStart w:id="25" w:name="X99cecc21f7834c4751755f87ac2fe0cd7a6a4f3"/>
    <w:p>
      <w:pPr>
        <w:pStyle w:val="Heading3"/>
      </w:pPr>
      <w:r>
        <w:t xml:space="preserve">5.1.3 The equal weighting is imposed, not chosen</w:t>
      </w:r>
    </w:p>
    <w:p>
      <w:pPr>
        <w:pStyle w:val="FirstParagraph"/>
        <w:jc w:val="both"/>
      </w:pPr>
      <w:r>
        <w:t xml:space="preserve">The variance above belongs to the block-weighted estimator. The Kish effective</w:t>
      </w:r>
      <w:r>
        <w:t xml:space="preserve"> </w:t>
      </w:r>
      <w:r>
        <w:t xml:space="preserve">sample size describes a different, observation-weighted estimator, and the two</w:t>
      </w:r>
      <w:r>
        <w:t xml:space="preserve"> </w:t>
      </w:r>
      <w:r>
        <w:t xml:space="preserve">coincide only for uniform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(7)</m:t>
          </m:r>
        </m:oMath>
      </m:oMathPara>
    </w:p>
    <w:p>
      <w:pPr>
        <w:pStyle w:val="FirstParagraph"/>
        <w:jc w:val="both"/>
      </w:pPr>
      <w:r>
        <w:t xml:space="preserve">The second expression is the standard clustering design effect for unequal cluster</w:t>
      </w:r>
      <w:r>
        <w:t xml:space="preserve"> </w:t>
      </w:r>
      <w:r>
        <w:t xml:space="preserve">sizes, and comparing design effects under equal versus size weighting of cluster</w:t>
      </w:r>
      <w:r>
        <w:t xml:space="preserve"> </w:t>
      </w:r>
      <w:r>
        <w:t xml:space="preserve">means is established practice in cluster-randomized trials [38], [39]. We use both</w:t>
      </w:r>
      <w:r>
        <w:t xml:space="preserve"> </w:t>
      </w:r>
      <w:r>
        <w:t xml:space="preserve">formulas as given.</w:t>
      </w:r>
    </w:p>
    <w:p>
      <w:pPr>
        <w:pStyle w:val="BodyText"/>
        <w:jc w:val="both"/>
      </w:pPr>
      <w:r>
        <w:t xml:space="preserve">What differs in the conformal setting is not the formula but the freedom to choose.</w:t>
      </w:r>
      <w:r>
        <w:t xml:space="preserve"> </w:t>
      </w:r>
      <w:r>
        <w:t xml:space="preserve">In a cluster-randomized trial, equal weighting is an analyst’s choice and is known</w:t>
      </w:r>
      <w:r>
        <w:t xml:space="preserve"> </w:t>
      </w:r>
      <w:r>
        <w:t xml:space="preserve">to be inefficient under unequal cluster sizes; the standard remedy is</w:t>
      </w:r>
      <w:r>
        <w:t xml:space="preserve"> </w:t>
      </w:r>
      <w:r>
        <w:t xml:space="preserve">minimum-variance weighting [38], [39]. In HCP the</w:t>
      </w:r>
      <w:r>
        <w:t xml:space="preserve"> </w:t>
      </w:r>
      <w:r>
        <w:t xml:space="preserve">equal weighting follows from the structure of the threshold itself, and departing</w:t>
      </w:r>
      <w:r>
        <w:t xml:space="preserve"> </w:t>
      </w:r>
      <w:r>
        <w:t xml:space="preserve">from it can break the finite-sample guarantee rather than merely cost efficiency:</w:t>
      </w:r>
      <w:r>
        <w:t xml:space="preserve"> </w:t>
      </w:r>
      <w:r>
        <w:t xml:space="preserve">with</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places mass</w:t>
      </w:r>
      <w:r>
        <w:t xml:space="preserve"> </w:t>
      </w:r>
      <m:oMath>
        <m:f>
          <m:fPr>
            <m:type m:val="lin"/>
          </m:fPr>
          <m:num>
            <m:r>
              <m:t>1</m:t>
            </m:r>
          </m:num>
          <m:den>
            <m:r>
              <m:t>3</m:t>
            </m:r>
          </m:den>
        </m:f>
      </m:oMath>
      <w:r>
        <w:t xml:space="preserve"> </w:t>
      </w:r>
      <w:r>
        <w:t xml:space="preserve">on each</w:t>
      </w:r>
      <w:r>
        <w:t xml:space="preserve"> </w:t>
      </w:r>
      <w:r>
        <w:t xml:space="preserve">calibration score and on</w:t>
      </w:r>
      <w:r>
        <w:t xml:space="preserve"> </w:t>
      </w:r>
      <m:oMath>
        <m:r>
          <m:rPr>
            <m:sty m:val="p"/>
          </m:rPr>
          <m:t>+</m:t>
        </m:r>
        <m:r>
          <m:rPr>
            <m:sty m:val="p"/>
          </m:rPr>
          <m:t>∞</m:t>
        </m:r>
      </m:oMath>
      <w:r>
        <w:t xml:space="preserve">, giving threshold</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coverage</w:t>
      </w:r>
      <w:r>
        <w:t xml:space="preserve"> </w:t>
      </w:r>
      <w:r>
        <w:t xml:space="preserve">exactly</w:t>
      </w:r>
      <w:r>
        <w:t xml:space="preserve"> </w:t>
      </w:r>
      <m:oMath>
        <m:f>
          <m:fPr>
            <m:type m:val="lin"/>
          </m:fPr>
          <m:num>
            <m:r>
              <m:t>2</m:t>
            </m:r>
          </m:num>
          <m:den>
            <m:r>
              <m:t>3</m:t>
            </m:r>
          </m:den>
        </m:f>
      </m:oMath>
      <w:r>
        <w:t xml:space="preserve">. Moving the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keeping</w:t>
      </w:r>
      <w:r>
        <w:t xml:space="preserve"> </w:t>
      </w:r>
      <m:oMath>
        <m:f>
          <m:fPr>
            <m:type m:val="lin"/>
          </m:fPr>
          <m:num>
            <m:r>
              <m:t>1</m:t>
            </m:r>
          </m:num>
          <m:den>
            <m:r>
              <m:t>3</m:t>
            </m:r>
          </m:den>
        </m:f>
      </m:oMath>
      <w:r>
        <w:t xml:space="preserve"> </w:t>
      </w:r>
      <w:r>
        <w:t xml:space="preserve">on</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 exchangeable scores the</w:t>
      </w:r>
      <w:r>
        <w:t xml:space="preserve"> </w:t>
      </w:r>
      <w:r>
        <w:t xml:space="preserve">coverage becomes</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 The practitioner is therefore held to the estimator that</w:t>
      </w:r>
      <w:r>
        <w:t xml:space="preserve"> </w:t>
      </w:r>
      <w:r>
        <w:t xml:space="preserve">cluster-sampling theory identifies as most affected by block imbalance, without</w:t>
      </w:r>
      <w:r>
        <w:t xml:space="preserve"> </w:t>
      </w:r>
      <w:r>
        <w:t xml:space="preserve">access to its usual remedy. We report this as an observation about the setting;</w:t>
      </w:r>
      <w:r>
        <w:t xml:space="preserve"> </w:t>
      </w:r>
      <w:r>
        <w:t xml:space="preserve">we do not prove that equal weights are the only valid choice.</w:t>
      </w:r>
    </w:p>
    <w:p>
      <w:pPr>
        <w:pStyle w:val="BodyText"/>
        <w:jc w:val="both"/>
      </w:pPr>
      <w:r>
        <w:t xml:space="preserve">On PTB-XL the two design effects differ by a factor of 15.7 at the recording</w:t>
      </w:r>
      <w:r>
        <w:t xml:space="preserve"> </w:t>
      </w:r>
      <w:r>
        <w:t xml:space="preserve">site level. On</w:t>
      </w:r>
      <w:r>
        <w:t xml:space="preserve"> </w:t>
      </w:r>
      <w:r>
        <w:rPr>
          <w:rStyle w:val="VerbatimChar"/>
        </w:rPr>
        <w:t xml:space="preserve">strat_fold</w:t>
      </w:r>
      <w:r>
        <w:t xml:space="preserve">, whose blocks are nearly uniform by construction, the</w:t>
      </w:r>
      <w:r>
        <w:t xml:space="preserve"> </w:t>
      </w:r>
      <w:r>
        <w:t xml:space="preserve">ratio is 1.000 — an internal check of the computation.</w:t>
      </w:r>
    </w:p>
    <w:bookmarkEnd w:id="25"/>
    <w:bookmarkStart w:id="26" w:name="the-axis-used-to-organize-results"/>
    <w:p>
      <w:pPr>
        <w:pStyle w:val="Heading3"/>
      </w:pPr>
      <w:r>
        <w:t xml:space="preserve">5.1.4 The axis used to organize results</w:t>
      </w:r>
    </w:p>
    <w:p>
      <w:pPr>
        <w:pStyle w:val="FirstParagraph"/>
        <w:jc w:val="both"/>
      </w:pPr>
      <w:r>
        <w:t xml:space="preserve">The audit in §8 needs an axis on which datasets with very different block geometry</w:t>
      </w:r>
      <w:r>
        <w:t xml:space="preserve"> </w:t>
      </w:r>
      <w:r>
        <w:t xml:space="preserve">can be compared. We use the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of (6).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quantity predicts that dependence is harmless</w:t>
      </w:r>
      <w:r>
        <w:t xml:space="preserve"> </w:t>
      </w:r>
      <w:r>
        <w:t xml:space="preserve">whenever blocks are near-singleton, however strong the within-block correlation;</w:t>
      </w:r>
      <w:r>
        <w:t xml:space="preserve"> </w:t>
      </w:r>
      <w:r>
        <w:t xml:space="preserve">raw</w:t>
      </w:r>
      <w:r>
        <w:t xml:space="preserve"> </w:t>
      </w:r>
      <m:oMath>
        <m:r>
          <m:t>ρ</m:t>
        </m:r>
      </m:oMath>
      <w:r>
        <w:t xml:space="preserve"> </w:t>
      </w:r>
      <w:r>
        <w:t xml:space="preserve">alone predicts the opposite. The primary analysis computes</w:t>
      </w:r>
      <w:r>
        <w:t xml:space="preserve"> </w:t>
      </w:r>
      <m:oMath>
        <m:r>
          <m:t>ρ</m:t>
        </m:r>
      </m:oMath>
      <w:r>
        <w:t xml:space="preserve"> </w:t>
      </w:r>
      <w:r>
        <w:t xml:space="preserve">from</w:t>
      </w:r>
      <w:r>
        <w:t xml:space="preserve"> </w:t>
      </w:r>
      <w:r>
        <w:t xml:space="preserve">conformity scores; because (6) is stated for the threshold indicator, we repeat</w:t>
      </w:r>
      <w:r>
        <w:t xml:space="preserve"> </w:t>
      </w:r>
      <w:r>
        <w:t xml:space="preserve">it with the indicator correlation</w:t>
      </w:r>
      <w:r>
        <w:t xml:space="preserve"> </w:t>
      </w:r>
      <m:oMath>
        <m:r>
          <m:t>ρ</m:t>
        </m:r>
        <m:r>
          <m:rPr>
            <m:sty m:val="p"/>
          </m:rPr>
          <m:t>(</m:t>
        </m:r>
        <m:r>
          <m:t>t</m:t>
        </m:r>
        <m:r>
          <m:rPr>
            <m:sty m:val="p"/>
          </m:rPr>
          <m:t>)</m:t>
        </m:r>
      </m:oMath>
      <w:r>
        <w:t xml:space="preserve"> </w:t>
      </w:r>
      <w:r>
        <w:t xml:space="preserve">(§8.4). When this axis was adopted is</w:t>
      </w:r>
      <w:r>
        <w:t xml:space="preserve"> </w:t>
      </w:r>
      <w:r>
        <w:t xml:space="preserve">recorded in §10.6.</w:t>
      </w:r>
    </w:p>
    <w:p>
      <w:pPr>
        <w:pStyle w:val="BodyText"/>
        <w:jc w:val="both"/>
      </w:pPr>
      <w:r>
        <w:t xml:space="preserve">We use this quantity only as an ordering axis, not as a calibrated effective</w:t>
      </w:r>
      <w:r>
        <w:t xml:space="preserve"> </w:t>
      </w:r>
      <w:r>
        <w:t xml:space="preserve">sample size. Noonan [40] derives a closed-form effective sample size for</w:t>
      </w:r>
      <w:r>
        <w:t xml:space="preserve"> </w:t>
      </w:r>
      <w:r>
        <w:t xml:space="preserve">thresholds under clustering and shows that the correction currently used in the</w:t>
      </w:r>
      <w:r>
        <w:t xml:space="preserve"> </w:t>
      </w:r>
      <w:r>
        <w:t xml:space="preserve">conformal literature is the wrong quantity. Our axis shares its central ingredient</w:t>
      </w:r>
      <w:r>
        <w:t xml:space="preserve"> </w:t>
      </w:r>
      <w:r>
        <w:t xml:space="preserve">— the correlation of threshold indicators rather than of scores — but is a</w:t>
      </w:r>
      <w:r>
        <w:t xml:space="preserve"> </w:t>
      </w:r>
      <w:r>
        <w:t xml:space="preserve">heuristic under Assumption (A), and we defer to that work for the principled</w:t>
      </w:r>
      <w:r>
        <w:t xml:space="preserve"> </w:t>
      </w:r>
      <w:r>
        <w:t xml:space="preserve">quantity.</w:t>
      </w:r>
    </w:p>
    <w:bookmarkEnd w:id="26"/>
    <w:bookmarkEnd w:id="27"/>
    <w:bookmarkStart w:id="28" w:name="X2f6a8c7b9e0c620a0236c2ed533b64a13dca72a"/>
    <w:p>
      <w:pPr>
        <w:pStyle w:val="Heading2"/>
      </w:pPr>
      <w:r>
        <w:t xml:space="preserve">5.2 Which calibration groupings are admissible</w:t>
      </w:r>
    </w:p>
    <w:p>
      <w:pPr>
        <w:pStyle w:val="FirstParagraph"/>
        <w:jc w:val="both"/>
      </w:pPr>
      <w:r>
        <w:t xml:space="preserve">A practitioner choosing a calibration grouping</w:t>
      </w:r>
      <w:r>
        <w:t xml:space="preserve"> </w:t>
      </w:r>
      <m:oMath>
        <m:r>
          <m:t>g</m:t>
        </m:r>
      </m:oMath>
      <w:r>
        <w:t xml:space="preserve"> </w:t>
      </w:r>
      <w:r>
        <w:t xml:space="preserve">faces two requirements</w:t>
      </w:r>
      <w:r>
        <w:t xml:space="preserve"> </w:t>
      </w:r>
      <w:r>
        <w:t xml:space="preserve">(Table I).</w:t>
      </w:r>
    </w:p>
    <w:p>
      <w:pPr>
        <w:pStyle w:val="BodyText"/>
        <w:keepNext/>
        <w:spacing w:before="160"/>
        <w:jc w:val="center"/>
      </w:pPr>
      <w:r/>
      <w:r/>
      <m:oMath>
        <m:r>
          <m:t>g</m:t>
        </m:r>
      </m:oMath>
      <w:r/>
      <w:r>
        <w:rPr>
          <w:sz w:val="18"/>
        </w:rPr>
        <w:t>TABLE I</w:t>
      </w:r>
      <w:r>
        <w:br/>
      </w:r>
      <w:r>
        <w:rPr>
          <w:sz w:val="16"/>
        </w:rPr>
        <w:t>ADMISSIBILITY CONDITIONS FOR A CALIBRATION GROUPING .</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pPr>
            <w:r>
              <w:rPr>
                <w:b/>
                <w:sz w:val="17"/>
              </w:rPr>
              <w:t xml:space="preserve">Condition</w:t>
            </w:r>
          </w:p>
        </w:tc>
        <w:tc>
          <w:tcPr/>
          <w:p>
            <w:pPr>
              <w:pStyle w:val="Compact"/>
            </w:pPr>
            <w:r>
              <w:rPr>
                <w:b/>
                <w:sz w:val="17"/>
              </w:rPr>
              <w:t xml:space="preserve">Character</w:t>
            </w:r>
          </w:p>
        </w:tc>
      </w:tr>
      <w:tr>
        <w:tc>
          <w:tcPr/>
          <w:p>
            <w:pPr>
              <w:pStyle w:val="Compact"/>
            </w:pPr>
            <w:r>
              <w:rPr>
                <w:sz w:val="17"/>
              </w:rPr>
              <w:t xml:space="preserve">S1 Feasibility</w:t>
            </w:r>
          </w:p>
        </w:tc>
        <w:tc>
          <w:tcPr/>
          <w:p>
            <w:pPr>
              <w:pStyle w:val="Compact"/>
            </w:pP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p>
        </w:tc>
        <w:tc>
          <w:tcPr/>
          <w:p>
            <w:pPr>
              <w:pStyle w:val="Compact"/>
            </w:pPr>
            <w:r>
              <w:rPr>
                <w:sz w:val="17"/>
              </w:rPr>
              <w:t xml:space="preserve">exact, from Proposition 1</w:t>
            </w:r>
          </w:p>
        </w:tc>
      </w:tr>
      <w:tr>
        <w:tc>
          <w:tcPr/>
          <w:p>
            <w:pPr>
              <w:pStyle w:val="Compact"/>
            </w:pPr>
            <w:r>
              <w:rPr>
                <w:sz w:val="17"/>
              </w:rPr>
              <w:t xml:space="preserve">S2 Sufficiency</w:t>
            </w:r>
          </w:p>
        </w:tc>
        <w:tc>
          <w:tcPr/>
          <w:p>
            <w:pPr>
              <w:pStyle w:val="Compact"/>
            </w:pPr>
            <w:r>
              <w:rPr>
                <w:sz w:val="17"/>
              </w:rPr>
              <w:t xml:space="preserve">every declared dependence source is nested within</w:t>
            </w:r>
            <w:r>
              <w:rPr>
                <w:sz w:val="17"/>
              </w:rPr>
              <w:t xml:space="preserve"> </w:t>
            </w:r>
            <m:oMath>
              <m:r>
                <m:t>g</m:t>
              </m:r>
            </m:oMath>
          </w:p>
        </w:tc>
        <w:tc>
          <w:tcPr/>
          <w:p>
            <w:pPr>
              <w:pStyle w:val="Compact"/>
            </w:pPr>
            <w:r>
              <w:rPr>
                <w:sz w:val="17"/>
              </w:rPr>
              <w:t xml:space="preserve">exact, given the declaration</w:t>
            </w:r>
          </w:p>
        </w:tc>
      </w:tr>
    </w:tbl>
    <w:p>
      <w:pPr>
        <w:pStyle w:val="BodyText"/>
        <w:jc w:val="both"/>
      </w:pPr>
      <w:r>
        <w:t xml:space="preserve">S1 alone is insufficient: a grouping can admit a finite threshold while leaving</w:t>
      </w:r>
      <w:r>
        <w:t xml:space="preserve"> </w:t>
      </w:r>
      <w:r>
        <w:t xml:space="preserve">dependence unaccounted for across its blocks. S2 is only as complete as the list</w:t>
      </w:r>
      <w:r>
        <w:t xml:space="preserve"> </w:t>
      </w:r>
      <w:r>
        <w:t xml:space="preserve">of dependence sources supplied to it. It verifies nesting for declared sources;</w:t>
      </w:r>
      <w:r>
        <w:t xml:space="preserve"> </w:t>
      </w:r>
      <w:r>
        <w:t xml:space="preserve">an undeclared source passes vacuously. S2 is therefore a check on the consistency</w:t>
      </w:r>
      <w:r>
        <w:t xml:space="preserve"> </w:t>
      </w:r>
      <w:r>
        <w:t xml:space="preserve">of a stated assumption, not a test of it.</w:t>
      </w:r>
    </w:p>
    <w:p>
      <w:pPr>
        <w:pStyle w:val="BodyText"/>
        <w:jc w:val="both"/>
      </w:pPr>
      <w:r>
        <w:t xml:space="preserve">When declared sources are crossed rather than nested, the finest grouping</w:t>
      </w:r>
      <w:r>
        <w:t xml:space="preserve"> </w:t>
      </w:r>
      <w:r>
        <w:t xml:space="preserve">satisfying S2 for all of them is their join in the partition lattice — the</w:t>
      </w:r>
      <w:r>
        <w:t xml:space="preserve"> </w:t>
      </w:r>
      <w:r>
        <w:t xml:space="preserve">connected components of the graph that links two observations whenever they share</w:t>
      </w:r>
      <w:r>
        <w:t xml:space="preserve"> </w:t>
      </w:r>
      <w:r>
        <w:t xml:space="preserve">a block under any declared source. This is standard partition-lattice algebra, and</w:t>
      </w:r>
      <w:r>
        <w:t xml:space="preserve"> </w:t>
      </w:r>
      <w:r>
        <w:t xml:space="preserve">the observation that joining several individually fine groupings can collapse into</w:t>
      </w:r>
      <w:r>
        <w:t xml:space="preserve"> </w:t>
      </w:r>
      <w:r>
        <w:t xml:space="preserve">a giant component has been reported for leakage control [41]. Combined with</w:t>
      </w:r>
      <w:r>
        <w:t xml:space="preserve"> </w:t>
      </w:r>
      <w:r>
        <w:t xml:space="preserve">Proposition 1 it yields the design-level bound of Corollary 2.2 (§4.2), which we</w:t>
      </w:r>
      <w:r>
        <w:t xml:space="preserve"> </w:t>
      </w:r>
      <w:r>
        <w:t xml:space="preserve">use as a diagnostic. It is stated for the HCP family only. The difference from the</w:t>
      </w:r>
      <w:r>
        <w:t xml:space="preserve"> </w:t>
      </w:r>
      <w:r>
        <w:t xml:space="preserve">leakage-control setting is one of kind rather than degree: there, a collapsed join</w:t>
      </w:r>
      <w:r>
        <w:t xml:space="preserve"> </w:t>
      </w:r>
      <w:r>
        <w:t xml:space="preserve">degrades a split (fewer folds, higher variance);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no finite</w:t>
      </w:r>
      <w:r>
        <w:t xml:space="preserve"> </w:t>
      </w:r>
      <w:r>
        <w:t xml:space="preserve">threshold exists at all.</w:t>
      </w:r>
    </w:p>
    <w:p>
      <w:pPr>
        <w:pStyle w:val="BodyText"/>
        <w:jc w:val="both"/>
      </w:pPr>
      <w:r>
        <w:t xml:space="preserve">The bound depends on which sources are declared, and that choice cannot be</w:t>
      </w:r>
      <w:r>
        <w:t xml:space="preserve"> </w:t>
      </w:r>
      <w:r>
        <w:t xml:space="preserve">verified from data. We therefore report it as a function of the declared set and</w:t>
      </w:r>
      <w:r>
        <w:t xml:space="preserve"> </w:t>
      </w:r>
      <w:r>
        <w:t xml:space="preserve">never as a property of a dataset. On PTB-XL fold 9, declaring</w:t>
      </w:r>
      <w:r>
        <w:t xml:space="preserve"> </w:t>
      </w:r>
      <w:r>
        <w:rPr>
          <w:rStyle w:val="VerbatimChar"/>
        </w:rPr>
        <w:t xml:space="preserve">patient_id</w:t>
      </w:r>
      <w:r>
        <w:t xml:space="preserve"> </w:t>
      </w:r>
      <w:r>
        <w:t xml:space="preserve">and</w:t>
      </w:r>
      <w:r>
        <w:t xml:space="preserve"> </w:t>
      </w:r>
      <w:r>
        <w:rPr>
          <w:rStyle w:val="VerbatimChar"/>
        </w:rPr>
        <w:t xml:space="preserve">site</w:t>
      </w:r>
      <w:r>
        <w:t xml:space="preserve"> </w:t>
      </w:r>
      <w:r>
        <w:t xml:space="preserve">retains</w:t>
      </w:r>
      <w:r>
        <w:t xml:space="preserve"> </w:t>
      </w:r>
      <m:oMath>
        <m:sSub>
          <m:e>
            <m:r>
              <m:t>K</m:t>
            </m:r>
          </m:e>
          <m:sub>
            <m:r>
              <m:t>1</m:t>
            </m:r>
          </m:sub>
        </m:sSub>
        <m:r>
          <m:rPr>
            <m:sty m:val="p"/>
          </m:rPr>
          <m:t>=</m:t>
        </m:r>
        <m:r>
          <m:t>34</m:t>
        </m:r>
      </m:oMath>
      <w:r>
        <w:t xml:space="preserve"> </w:t>
      </w:r>
      <w:r>
        <w:t xml:space="preserve">and remains feasible at</w:t>
      </w:r>
      <w:r>
        <w:t xml:space="preserve"> </w:t>
      </w:r>
      <m:oMath>
        <m:r>
          <m:t>α</m:t>
        </m:r>
        <m:r>
          <m:rPr>
            <m:sty m:val="p"/>
          </m:rPr>
          <m:t>=</m:t>
        </m:r>
        <m:r>
          <m:t>0.05</m:t>
        </m:r>
      </m:oMath>
      <w:r>
        <w:t xml:space="preserve">, although 31 of those</w:t>
      </w:r>
      <w:r>
        <w:t xml:space="preserve"> </w:t>
      </w:r>
      <w:r>
        <w:t xml:space="preserve">34 blocks consist solely of records lacking nurse metadata (§8.1); adding</w:t>
      </w:r>
      <w:r>
        <w:t xml:space="preserve"> </w:t>
      </w:r>
      <w:r>
        <w:rPr>
          <w:rStyle w:val="VerbatimChar"/>
        </w:rPr>
        <w:t xml:space="preserve">device</w:t>
      </w:r>
      <w:r>
        <w:t xml:space="preserve"> </w:t>
      </w:r>
      <w:r>
        <w:t xml:space="preserve">collapses the join to</w:t>
      </w:r>
      <w:r>
        <w:t xml:space="preserve"> </w:t>
      </w:r>
      <m:oMath>
        <m:sSub>
          <m:e>
            <m:r>
              <m:t>K</m:t>
            </m:r>
          </m:e>
          <m:sub>
            <m:r>
              <m:t>1</m:t>
            </m:r>
          </m:sub>
        </m:sSub>
        <m:r>
          <m:rPr>
            <m:sty m:val="p"/>
          </m:rPr>
          <m:t>=</m:t>
        </m:r>
        <m:r>
          <m:t>5</m:t>
        </m:r>
      </m:oMath>
      <w:r>
        <w:t xml:space="preserve">; declaring all four available sources yields a single</w:t>
      </w:r>
      <w:r>
        <w:t xml:space="preserve"> </w:t>
      </w:r>
      <w:r>
        <w:t xml:space="preserve">block.</w:t>
      </w:r>
      <w:r>
        <w:t xml:space="preserve"> </w:t>
      </w:r>
      <w:r>
        <w:t xml:space="preserve">Enumerating all</w:t>
      </w:r>
      <w:r>
        <w:t xml:space="preserve"> </w:t>
      </w:r>
      <m:oMath>
        <m:sSup>
          <m:e>
            <m:r>
              <m:t>2</m:t>
            </m:r>
          </m:e>
          <m:sup>
            <m:r>
              <m:t>4</m:t>
            </m:r>
          </m:sup>
        </m:sSup>
        <m:r>
          <m:rPr>
            <m:sty m:val="p"/>
          </m:rPr>
          <m:t>−</m:t>
        </m:r>
        <m:r>
          <m:t>1</m:t>
        </m:r>
      </m:oMath>
      <w:r>
        <w:t xml:space="preserve"> </w:t>
      </w:r>
      <w:r>
        <w:t xml:space="preserve">joins on fold 9 shows that every grouping satisfying S2</w:t>
      </w:r>
      <w:r>
        <w:t xml:space="preserve"> </w:t>
      </w:r>
      <w:r>
        <w:t xml:space="preserve">for all four sources has</w:t>
      </w:r>
      <w:r>
        <w:t xml:space="preserve"> </w:t>
      </w:r>
      <m:oMath>
        <m:sSub>
          <m:e>
            <m:r>
              <m:t>K</m:t>
            </m:r>
          </m:e>
          <m:sub>
            <m:r>
              <m:t>1</m:t>
            </m:r>
          </m:sub>
        </m:sSub>
        <m:r>
          <m:rPr>
            <m:sty m:val="p"/>
          </m:rPr>
          <m:t>=</m:t>
        </m:r>
        <m:r>
          <m:t>1</m:t>
        </m:r>
      </m:oMath>
      <w:r>
        <w:t xml:space="preserve">, so under that declaration no grouping satisfies</w:t>
      </w:r>
      <w:r>
        <w:t xml:space="preserve"> </w:t>
      </w:r>
      <w:r>
        <w:t xml:space="preserve">S1 and S2 together at any</w:t>
      </w:r>
      <w:r>
        <w:t xml:space="preserve"> </w:t>
      </w:r>
      <m:oMath>
        <m:r>
          <m:t>α</m:t>
        </m:r>
        <m:r>
          <m:rPr>
            <m:sty m:val="p"/>
          </m:rPr>
          <m:t>∈</m:t>
        </m:r>
        <m:r>
          <m:rPr>
            <m:sty m:val="p"/>
          </m:rPr>
          <m:t>{</m:t>
        </m:r>
        <m:r>
          <m:t>0.01</m:t>
        </m:r>
        <m:r>
          <m:rPr>
            <m:sty m:val="p"/>
          </m:rPr>
          <m:t>,</m:t>
        </m:r>
        <m:r>
          <m:t>0.05</m:t>
        </m:r>
        <m:r>
          <m:rPr>
            <m:sty m:val="p"/>
          </m:rPr>
          <m:t>,</m:t>
        </m:r>
        <m:r>
          <m:t>0.10</m:t>
        </m:r>
        <m:r>
          <m:rPr>
            <m:sty m:val="p"/>
          </m:rPr>
          <m:t>,</m:t>
        </m:r>
        <m:r>
          <m:t>0.20</m:t>
        </m:r>
        <m:r>
          <m:rPr>
            <m:sty m:val="p"/>
          </m:rPr>
          <m:t>}</m:t>
        </m:r>
      </m:oMath>
      <w:r>
        <w:t xml:space="preserve">.</w:t>
      </w:r>
    </w:p>
    <w:bookmarkEnd w:id="28"/>
    <w:bookmarkStart w:id="31" w:name="X061e8cbe518056becbb1e4c854110f791be5f3e"/>
    <w:p>
      <w:pPr>
        <w:pStyle w:val="Heading2"/>
      </w:pPr>
      <w:r>
        <w:t xml:space="preserve">5.3 Per-label feasibility on a label hierarchy</w:t>
      </w:r>
    </w:p>
    <w:bookmarkStart w:id="29" w:name="superset-coverage-reduces-exactly-to-hcp"/>
    <w:p>
      <w:pPr>
        <w:pStyle w:val="Heading3"/>
      </w:pPr>
      <w:r>
        <w:t xml:space="preserve">5.3.1 Superset coverage reduces exactly to HCP</w:t>
      </w:r>
    </w:p>
    <w:p>
      <w:pPr>
        <w:pStyle w:val="FirstParagraph"/>
        <w:jc w:val="both"/>
      </w:pPr>
      <w:r>
        <w:t xml:space="preserve">If the conformity score of a record is taken to be the maximum score over its true</w:t>
      </w:r>
      <w:r>
        <w:t xml:space="preserve"> </w:t>
      </w:r>
      <w:r>
        <w:t xml:space="preserve">labels, superset coverage is a marginal coverage statement about a scalar score,</w:t>
      </w:r>
      <w:r>
        <w:t xml:space="preserve"> </w:t>
      </w:r>
      <w:r>
        <w:t xml:space="preserve">and Theorem 1 of [13] applies verbatim. No new guarantee is obtained; we use</w:t>
      </w:r>
      <w:r>
        <w:t xml:space="preserve"> </w:t>
      </w:r>
      <w:r>
        <w:t xml:space="preserve">the construction because it is the operationally correct way to obtain a</w:t>
      </w:r>
      <w:r>
        <w:t xml:space="preserve"> </w:t>
      </w:r>
      <w:r>
        <w:t xml:space="preserve">superset-valid prediction set.</w:t>
      </w:r>
    </w:p>
    <w:bookmarkEnd w:id="29"/>
    <w:bookmarkStart w:id="30" w:name="X247756c12acb3b712aa935edc7f5d46325d673c"/>
    <w:p>
      <w:pPr>
        <w:pStyle w:val="Heading3"/>
      </w:pPr>
      <w:r>
        <w:t xml:space="preserve">5.3.2 Per-label guarantees are bounded by the number of blocks carrying the label</w:t>
      </w:r>
    </w:p>
    <w:p>
      <w:pPr>
        <w:pStyle w:val="FirstParagraph"/>
        <w:jc w:val="both"/>
      </w:pPr>
      <w:r>
        <w:t xml:space="preserve">That rare classes starve class-conditional calibration is well established for</w:t>
      </w:r>
      <w:r>
        <w:t xml:space="preserve"> </w:t>
      </w:r>
      <w:r>
        <w:t xml:space="preserve">exchangeable data [42]. Under hierarchical dependence the unit that</w:t>
      </w:r>
      <w:r>
        <w:t xml:space="preserve"> </w:t>
      </w:r>
      <w:r>
        <w:t xml:space="preserve">must be counted changes from observations to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w:r>
        <w:t xml:space="preserve">carrying</w:t>
      </w:r>
      <w:r>
        <w:t xml:space="preserve"> </w:t>
      </w:r>
      <m:oMath>
        <m:r>
          <m:t>ℓ</m:t>
        </m:r>
      </m:oMath>
      <w:r>
        <w:t xml:space="preserve"> </w:t>
      </w:r>
      <w:r>
        <w:t xml:space="preserve">selects its block with probability proportional to the fraction of</w:t>
      </w:r>
      <w:r>
        <w:t xml:space="preserve"> </w:t>
      </w:r>
      <m:oMath>
        <m:r>
          <m:t>ℓ</m:t>
        </m:r>
      </m:oMath>
      <w:r>
        <w:t xml:space="preserve">-positive observations in that block, whereas a block enters the calibration</w:t>
      </w:r>
      <w:r>
        <w:t xml:space="preserve"> </w:t>
      </w:r>
      <w:r>
        <w:t xml:space="preserve">stratum merely by containing one. Unless that fraction is constant across blocks,</w:t>
      </w:r>
      <w:r>
        <w:t xml:space="preserve"> </w:t>
      </w:r>
      <w:r>
        <w:t xml:space="preserve">test and calibration blocks are not exchangeable, and the rank argument does not</w:t>
      </w:r>
      <w:r>
        <w:t xml:space="preserve"> </w:t>
      </w:r>
      <w:r>
        <w:t xml:space="preserve">deliver</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The same size-biased</w:t>
      </w:r>
      <w:r>
        <w:t xml:space="preserve"> </w:t>
      </w:r>
      <w:r>
        <w:t xml:space="preserve">selection appears in the analysis of thresholds under clustering [40]. We</w:t>
      </w:r>
      <w:r>
        <w:t xml:space="preserve"> </w:t>
      </w:r>
      <w:r>
        <w:t xml:space="preserve">therefore use Proposition 3 only to rule out guarantees, never to certify them.</w:t>
      </w:r>
    </w:p>
    <w:p>
      <w:pPr>
        <w:pStyle w:val="BodyText"/>
        <w:jc w:val="both"/>
      </w:pPr>
      <w:r>
        <w:t xml:space="preserve">Because every block containing a label contains its ancestors,</w:t>
      </w:r>
      <w:r>
        <w:t xml:space="preserve"> </w:t>
      </w:r>
      <m:oMath>
        <m:sSub>
          <m:e>
            <m:r>
              <m:t>K</m:t>
            </m:r>
          </m:e>
          <m:sub>
            <m:r>
              <m:t>1</m:t>
            </m:r>
          </m:sub>
        </m:sSub>
      </m:oMath>
      <w:r>
        <w:t xml:space="preserve"> </w:t>
      </w:r>
      <w:r>
        <w:t xml:space="preserve">is monotone</w:t>
      </w:r>
      <w:r>
        <w:t xml:space="preserve"> </w:t>
      </w:r>
      <w:r>
        <w:t xml:space="preserve">toward the root of the hierarchy, so the necessary condition fails along a frontier</w:t>
      </w:r>
      <w:r>
        <w:t xml:space="preserve"> </w:t>
      </w:r>
      <w:r>
        <w:t xml:space="preserve">in the taxonomy that can be mapped from metadata before any model is trained.</w:t>
      </w:r>
      <w:r>
        <w:t xml:space="preserve"> </w:t>
      </w:r>
      <w:r>
        <w:t xml:space="preserve">Controlling</w:t>
      </w:r>
      <w:r>
        <w:t xml:space="preserve"> </w:t>
      </w:r>
      <m:oMath>
        <m:r>
          <m:t>m</m:t>
        </m:r>
      </m:oMath>
      <w:r>
        <w:t xml:space="preserve"> </w:t>
      </w:r>
      <w:r>
        <w:t xml:space="preserve">labels jointly by a union bound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every</w:t>
      </w:r>
      <w:r>
        <w:t xml:space="preserve"> </w:t>
      </w:r>
      <m:oMath>
        <m:r>
          <m:t>ℓ</m:t>
        </m:r>
      </m:oMath>
      <w:r>
        <w:t xml:space="preserve">.</w:t>
      </w:r>
    </w:p>
    <w:bookmarkEnd w:id="30"/>
    <w:bookmarkEnd w:id="31"/>
    <w:bookmarkStart w:id="35" w:name="audit-protocol"/>
    <w:p>
      <w:pPr>
        <w:pStyle w:val="Heading2"/>
      </w:pPr>
      <w:r>
        <w:t xml:space="preserve">5.4 Audit protocol</w:t>
      </w:r>
    </w:p>
    <w:p>
      <w:pPr>
        <w:pStyle w:val="FirstParagraph"/>
        <w:jc w:val="both"/>
      </w:pPr>
      <w:r>
        <w:t xml:space="preserve">Fig. 1 summarizes the protocol. All three diagnostics are computed from metadata</w:t>
      </w:r>
      <w:r>
        <w:t xml:space="preserve"> </w:t>
      </w:r>
      <w:r>
        <w:t xml:space="preserve">alone, before training. The</w:t>
      </w:r>
      <w:r>
        <w:t xml:space="preserve"> </w:t>
      </w:r>
      <w:r>
        <w:t xml:space="preserve">empirical audit in §8 then measures coverage and prediction-set size of naive split</w:t>
      </w:r>
      <w:r>
        <w:t xml:space="preserve"> </w:t>
      </w:r>
      <w:r>
        <w:t xml:space="preserve">conformal (B1) and HCP (B12) on held-out blocks, over 200 random block-level</w:t>
      </w:r>
      <w:r>
        <w:t xml:space="preserve"> </w:t>
      </w:r>
      <w:r>
        <w:t xml:space="preserve">splits per configuration. To rule out the objection that calibration behavior is</w:t>
      </w:r>
      <w:r>
        <w:t xml:space="preserve"> </w:t>
      </w:r>
      <w:r>
        <w:t xml:space="preserve">an artifact of a weak model, every audit is repeated on three backbones spanning a</w:t>
      </w:r>
      <w:r>
        <w:t xml:space="preserve"> </w:t>
      </w:r>
      <w:r>
        <w:t xml:space="preserve">more than hundredfold range of capacity (0.10 M, 7.2 M and 16.0 M parameters).</w:t>
      </w:r>
      <w:r>
        <w:t xml:space="preserve"> </w:t>
      </w:r>
      <w:r>
        <w:t xml:space="preserve">Diagnostics computed from metadata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w:t>
      </w:r>
      <w:r>
        <w:t xml:space="preserve"> </w:t>
      </w:r>
      <w:r>
        <w:t xml:space="preserve">must be identical across backbones, and we report them per backbone as a negative</w:t>
      </w:r>
      <w:r>
        <w:t xml:space="preserve"> </w:t>
      </w:r>
      <w:r>
        <w:t xml:space="preserve">control on the pipeline. PTB-XL fold 10 is never used.</w:t>
      </w:r>
    </w:p>
    <w:p>
      <w:pPr>
        <w:pStyle w:val="CaptionedFigure"/>
        <w:jc w:val="both"/>
      </w:pPr>
      <w:r>
        <w:drawing>
          <wp:inline>
            <wp:extent cx="5334000" cy="1397151"/>
            <wp:effectExtent b="0" l="0" r="0" t="0"/>
            <wp:docPr descr="Fig. 1. Audit protocol. The first four steps use metadata only and return verdicts that are exact given the declared dependence sources, before any patient is enrolled or any model trained; the last two require conformity scores from a trained model." title="" id="33" name="Picture"/>
            <a:graphic>
              <a:graphicData uri="http://schemas.openxmlformats.org/drawingml/2006/picture">
                <pic:pic>
                  <pic:nvPicPr>
                    <pic:cNvPr descr="figures/fig1_audit_workflow.png" id="34" name="Picture"/>
                    <pic:cNvPicPr>
                      <a:picLocks noChangeArrowheads="1" noChangeAspect="1"/>
                    </pic:cNvPicPr>
                  </pic:nvPicPr>
                  <pic:blipFill>
                    <a:blip r:embed="rId32"/>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1. Audit protocol. The first four steps use metadata only and return verdicts that are exact given the declared dependence sources, before any patient is enrolled or any model trained; the last two require conformity scores from a trained model.</w:t>
      </w:r>
    </w:p>
    <w:bookmarkEnd w:id="35"/>
    <w:bookmarkEnd w:id="36"/>
    <w:bookmarkStart w:id="41" w:name="datasets"/>
    <w:p>
      <w:pPr>
        <w:pStyle w:val="Heading1"/>
      </w:pPr>
      <w:r>
        <w:t xml:space="preserve">6. Datasets</w:t>
      </w:r>
    </w:p>
    <w:p>
      <w:pPr>
        <w:pStyle w:val="FirstParagraph"/>
        <w:jc w:val="both"/>
      </w:pPr>
      <w:r>
        <w:t xml:space="preserve">Throughout this section we distinguish statements about</w:t>
      </w:r>
      <w:r>
        <w:t xml:space="preserve"> </w:t>
      </w:r>
      <w:r>
        <w:rPr>
          <w:i/>
          <w:iCs/>
        </w:rPr>
        <w:t xml:space="preserve">what is documented</w:t>
      </w:r>
      <w:r>
        <w:t xml:space="preserve"> </w:t>
      </w:r>
      <w:r>
        <w:t xml:space="preserve">for</w:t>
      </w:r>
      <w:r>
        <w:t xml:space="preserve"> </w:t>
      </w:r>
      <w:r>
        <w:t xml:space="preserve">a dataset from statements about</w:t>
      </w:r>
      <w:r>
        <w:t xml:space="preserve"> </w:t>
      </w:r>
      <w:r>
        <w:rPr>
          <w:i/>
          <w:iCs/>
        </w:rPr>
        <w:t xml:space="preserve">what is observed</w:t>
      </w:r>
      <w:r>
        <w:t xml:space="preserve"> </w:t>
      </w:r>
      <w:r>
        <w:t xml:space="preserve">in the data. The distinction</w:t>
      </w:r>
      <w:r>
        <w:t xml:space="preserve"> </w:t>
      </w:r>
      <w:r>
        <w:t xml:space="preserve">matters most where the two diverge (§6.4).</w:t>
      </w:r>
    </w:p>
    <w:bookmarkStart w:id="37" w:name="selection-rationale"/>
    <w:p>
      <w:pPr>
        <w:pStyle w:val="Heading2"/>
      </w:pPr>
      <w:r>
        <w:t xml:space="preserve">6.1 Selection rationale</w:t>
      </w:r>
    </w:p>
    <w:p>
      <w:pPr>
        <w:pStyle w:val="FirstParagraph"/>
        <w:jc w:val="both"/>
      </w:pPr>
      <w:r>
        <w:t xml:space="preserve">The three datasets serve logically distinct roles (Table II); they are not</w:t>
      </w:r>
      <w:r>
        <w:t xml:space="preserve"> </w:t>
      </w:r>
      <w:r>
        <w:t xml:space="preserve">replications intended to corroborate one another.</w:t>
      </w:r>
    </w:p>
    <w:p>
      <w:pPr>
        <w:pStyle w:val="BodyText"/>
        <w:keepNext/>
        <w:spacing w:before="160"/>
        <w:jc w:val="center"/>
      </w:pPr>
      <w:r/>
      <w:r>
        <w:rPr>
          <w:sz w:val="18"/>
        </w:rPr>
        <w:t>TABLE II</w:t>
      </w:r>
      <w:r>
        <w:br/>
      </w:r>
      <w:r>
        <w:rPr>
          <w:sz w:val="16"/>
        </w:rPr>
        <w:t>ROLES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Dataset</w:t>
            </w:r>
          </w:p>
        </w:tc>
        <w:tc>
          <w:tcPr/>
          <w:p>
            <w:pPr>
              <w:pStyle w:val="Compact"/>
            </w:pPr>
            <w:r>
              <w:rPr>
                <w:b/>
                <w:sz w:val="17"/>
              </w:rPr>
              <w:t xml:space="preserve">Role</w:t>
            </w:r>
          </w:p>
        </w:tc>
        <w:tc>
          <w:tcPr/>
          <w:p>
            <w:pPr>
              <w:pStyle w:val="Compact"/>
            </w:pPr>
            <w:r>
              <w:rPr>
                <w:b/>
                <w:sz w:val="17"/>
              </w:rPr>
              <w:t xml:space="preserve">Block identifier</w:t>
            </w:r>
          </w:p>
        </w:tc>
      </w:tr>
      <w:tr>
        <w:tc>
          <w:tcPr/>
          <w:p>
            <w:pPr>
              <w:pStyle w:val="Compact"/>
            </w:pPr>
            <w:r>
              <w:rPr>
                <w:sz w:val="17"/>
              </w:rPr>
              <w:t xml:space="preserve">PTB-XL</w:t>
            </w:r>
          </w:p>
        </w:tc>
        <w:tc>
          <w:tcPr/>
          <w:p>
            <w:pPr>
              <w:pStyle w:val="Compact"/>
            </w:pPr>
            <w:r>
              <w:rPr>
                <w:sz w:val="17"/>
              </w:rPr>
              <w:t xml:space="preserve">Primary case: patient-level dependence, multi-label targets, label hierarchy</w:t>
            </w:r>
          </w:p>
        </w:tc>
        <w:tc>
          <w:tcPr/>
          <w:p>
            <w:pPr>
              <w:pStyle w:val="Compact"/>
            </w:pPr>
            <w:r>
              <w:rPr>
                <w:sz w:val="17"/>
              </w:rPr>
              <w:t xml:space="preserve">Documented (patient_id)</w:t>
            </w:r>
          </w:p>
        </w:tc>
      </w:tr>
      <w:tr>
        <w:tc>
          <w:tcPr/>
          <w:p>
            <w:pPr>
              <w:pStyle w:val="Compact"/>
            </w:pPr>
            <w:r>
              <w:rPr>
                <w:sz w:val="17"/>
              </w:rPr>
              <w:t xml:space="preserve">MIT-BIH</w:t>
            </w:r>
          </w:p>
        </w:tc>
        <w:tc>
          <w:tcPr/>
          <w:p>
            <w:pPr>
              <w:pStyle w:val="Compact"/>
            </w:pPr>
            <w:r>
              <w:rPr>
                <w:sz w:val="17"/>
              </w:rPr>
              <w:t xml:space="preserve">Strong-dependence end of the design-effect axis</w:t>
            </w:r>
          </w:p>
        </w:tc>
        <w:tc>
          <w:tcPr/>
          <w:p>
            <w:pPr>
              <w:pStyle w:val="Compact"/>
            </w:pPr>
            <w:r>
              <w:rPr>
                <w:sz w:val="17"/>
              </w:rPr>
              <w:t xml:space="preserve">Documented (record = subject)</w:t>
            </w:r>
          </w:p>
        </w:tc>
      </w:tr>
      <w:tr>
        <w:tc>
          <w:tcPr/>
          <w:p>
            <w:pPr>
              <w:pStyle w:val="Compact"/>
            </w:pPr>
            <w:r>
              <w:rPr>
                <w:sz w:val="17"/>
              </w:rPr>
              <w:t xml:space="preserve">Challenge 2021</w:t>
            </w:r>
          </w:p>
        </w:tc>
        <w:tc>
          <w:tcPr/>
          <w:p>
            <w:pPr>
              <w:pStyle w:val="Compact"/>
            </w:pPr>
            <w:r>
              <w:rPr>
                <w:sz w:val="17"/>
              </w:rPr>
              <w:t xml:space="preserve">Case study at the limit of observability</w:t>
            </w:r>
          </w:p>
        </w:tc>
        <w:tc>
          <w:tcPr/>
          <w:p>
            <w:pPr>
              <w:pStyle w:val="Compact"/>
            </w:pPr>
            <w:r>
              <w:rPr>
                <w:sz w:val="17"/>
              </w:rPr>
              <w:t xml:space="preserve">Not documented</w:t>
            </w:r>
          </w:p>
        </w:tc>
      </w:tr>
    </w:tbl>
    <w:p>
      <w:pPr>
        <w:pStyle w:val="BodyText"/>
        <w:jc w:val="both"/>
      </w:pPr>
      <w:r>
        <w:t xml:space="preserve">The first two datasets occupy opposite corners of the space of block geometries.</w:t>
      </w:r>
      <w:r>
        <w:t xml:space="preserve"> </w:t>
      </w:r>
      <w:r>
        <w:t xml:space="preserve">A single dataset, however large, cannot separate a theory that depends on the</w:t>
      </w:r>
      <w:r>
        <w:t xml:space="preserve"> </w:t>
      </w:r>
      <w:r>
        <w:t xml:space="preserve">number of blocks from one that depends on the number of measurements per block,</w:t>
      </w:r>
      <w:r>
        <w:t xml:space="preserve"> </w:t>
      </w:r>
      <w:r>
        <w:t xml:space="preserve">because the two quantities are fixed within it (Table III).</w:t>
      </w:r>
    </w:p>
    <w:p>
      <w:pPr>
        <w:pStyle w:val="BodyText"/>
        <w:keepNext/>
        <w:spacing w:before="160"/>
        <w:jc w:val="center"/>
      </w:pPr>
      <w:r/>
      <w:r>
        <w:rPr>
          <w:sz w:val="18"/>
        </w:rPr>
        <w:t>TABLE III</w:t>
      </w:r>
      <w:r>
        <w:br/>
      </w:r>
      <w:r>
        <w:rPr>
          <w:sz w:val="16"/>
        </w:rPr>
        <w:t>BLOCK GEOMETRY OF THE TWO PRIMARY DATASETS.</w:t>
      </w:r>
    </w:p>
    <w:tbl>
      <w:tblPr>
        <w:tblStyle w:val="Table"/>
        <w:tblW w:type="auto" w:w="0"/>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jc w:val="right"/>
            </w:pPr>
            <w:r>
              <w:rPr>
                <w:b/>
                <w:sz w:val="17"/>
              </w:rPr>
              <w:t xml:space="preserve">PTB-XL</w:t>
            </w:r>
          </w:p>
        </w:tc>
        <w:tc>
          <w:tcPr/>
          <w:p>
            <w:pPr>
              <w:pStyle w:val="Compact"/>
              <w:jc w:val="right"/>
            </w:pPr>
            <w:r>
              <w:rPr>
                <w:b/>
                <w:sz w:val="17"/>
              </w:rPr>
              <w:t xml:space="preserve">MIT-BIH</w:t>
            </w:r>
          </w:p>
        </w:tc>
      </w:tr>
      <w:tr>
        <w:tc>
          <w:tcPr/>
          <w:p>
            <w:pPr>
              <w:pStyle w:val="Compact"/>
            </w:pPr>
            <w:r>
              <w:rPr>
                <w:sz w:val="17"/>
              </w:rPr>
              <w:t xml:space="preserve">Block unit</w:t>
            </w:r>
          </w:p>
        </w:tc>
        <w:tc>
          <w:tcPr/>
          <w:p>
            <w:pPr>
              <w:pStyle w:val="Compact"/>
              <w:jc w:val="right"/>
            </w:pPr>
            <w:r>
              <w:rPr>
                <w:sz w:val="17"/>
              </w:rPr>
              <w:t xml:space="preserve">patient</w:t>
            </w:r>
          </w:p>
        </w:tc>
        <w:tc>
          <w:tcPr/>
          <w:p>
            <w:pPr>
              <w:pStyle w:val="Compact"/>
              <w:jc w:val="right"/>
            </w:pPr>
            <w:r>
              <w:rPr>
                <w:sz w:val="17"/>
              </w:rPr>
              <w:t xml:space="preserve">record (subject)</w:t>
            </w:r>
          </w:p>
        </w:tc>
      </w:tr>
      <w:tr>
        <w:tc>
          <w:tcPr/>
          <w:p>
            <w:pPr>
              <w:pStyle w:val="Compact"/>
            </w:pPr>
            <w:r>
              <w:rPr>
                <w:sz w:val="17"/>
              </w:rPr>
              <w:t xml:space="preserve">Calibration blocks</w:t>
            </w:r>
            <w:r>
              <w:rPr>
                <w:sz w:val="17"/>
              </w:rPr>
              <w:t xml:space="preserve"> </w:t>
            </w:r>
            <m:oMath>
              <m:sSub>
                <m:e>
                  <m:r>
                    <m:t>K</m:t>
                  </m:r>
                </m:e>
                <m:sub>
                  <m:r>
                    <m:t>1</m:t>
                  </m:r>
                </m:sub>
              </m:sSub>
            </m:oMath>
          </w:p>
        </w:tc>
        <w:tc>
          <w:tcPr/>
          <w:p>
            <w:pPr>
              <w:pStyle w:val="Compact"/>
              <w:jc w:val="right"/>
            </w:pPr>
            <w:r>
              <w:rPr>
                <w:sz w:val="17"/>
              </w:rPr>
              <w:t xml:space="preserve">958</w:t>
            </w:r>
          </w:p>
        </w:tc>
        <w:tc>
          <w:tcPr/>
          <w:p>
            <w:pPr>
              <w:pStyle w:val="Compact"/>
              <w:jc w:val="right"/>
            </w:pPr>
            <w:r>
              <w:rPr>
                <w:sz w:val="17"/>
              </w:rPr>
              <w:t xml:space="preserve">11</w:t>
            </w:r>
          </w:p>
        </w:tc>
      </w:tr>
      <w:tr>
        <w:tc>
          <w:tcPr/>
          <w:p>
            <w:pPr>
              <w:pStyle w:val="Compact"/>
            </w:pPr>
            <w:r>
              <w:rPr>
                <w:sz w:val="17"/>
              </w:rPr>
              <w:t xml:space="preserve">Harmonic mean block size</w:t>
            </w:r>
            <w:r>
              <w:rPr>
                <w:sz w:val="17"/>
              </w:rPr>
              <w:t xml:space="preserve"> </w:t>
            </w:r>
            <m:oMath>
              <m:r>
                <m:t>H</m:t>
              </m:r>
            </m:oMath>
          </w:p>
        </w:tc>
        <w:tc>
          <w:tcPr/>
          <w:p>
            <w:pPr>
              <w:pStyle w:val="Compact"/>
              <w:jc w:val="right"/>
            </w:pPr>
            <w:r>
              <w:rPr>
                <w:sz w:val="17"/>
              </w:rPr>
              <w:t xml:space="preserve">1.05</w:t>
            </w:r>
          </w:p>
        </w:tc>
        <w:tc>
          <w:tcPr/>
          <w:p>
            <w:pPr>
              <w:pStyle w:val="Compact"/>
              <w:jc w:val="right"/>
            </w:pPr>
            <w:r>
              <w:rPr>
                <w:sz w:val="17"/>
              </w:rPr>
              <w:t xml:space="preserve">1,355</w:t>
            </w:r>
          </w:p>
        </w:tc>
      </w:tr>
      <w:tr>
        <w:tc>
          <w:tcPr/>
          <w:p>
            <w:pPr>
              <w:pStyle w:val="Compact"/>
            </w:pPr>
            <w:r>
              <w:rPr>
                <w:sz w:val="17"/>
              </w:rPr>
              <w:t xml:space="preserve">Design effect</w:t>
            </w:r>
          </w:p>
        </w:tc>
        <w:tc>
          <w:tcPr/>
          <w:p>
            <w:pPr>
              <w:pStyle w:val="Compact"/>
              <w:jc w:val="right"/>
            </w:pPr>
            <w:r>
              <w:rPr>
                <w:sz w:val="17"/>
              </w:rPr>
              <w:t xml:space="preserve">1.02</w:t>
            </w:r>
          </w:p>
        </w:tc>
        <w:tc>
          <w:tcPr/>
          <w:p>
            <w:pPr>
              <w:pStyle w:val="Compact"/>
              <w:jc w:val="right"/>
            </w:pPr>
            <w:r>
              <w:rPr>
                <w:sz w:val="17"/>
              </w:rPr>
              <w:t xml:space="preserve">703.93</w:t>
            </w:r>
          </w:p>
        </w:tc>
      </w:tr>
    </w:tbl>
    <w:p>
      <w:pPr>
        <w:pStyle w:val="BodyText"/>
        <w:jc w:val="both"/>
      </w:pPr>
      <w:r>
        <w:t xml:space="preserve">Two quantities in this table are not properties of the datasets.</w:t>
      </w:r>
      <w:r>
        <w:t xml:space="preserve"> </w:t>
      </w:r>
      <m:oMath>
        <m:sSub>
          <m:e>
            <m:r>
              <m:t>K</m:t>
            </m:r>
          </m:e>
          <m:sub>
            <m:r>
              <m:t>1</m:t>
            </m:r>
          </m:sub>
        </m:sSub>
      </m:oMath>
      <w:r>
        <w:t xml:space="preserve"> </w:t>
      </w:r>
      <w:r>
        <w:t xml:space="preserve">depends on</w:t>
      </w:r>
      <w:r>
        <w:t xml:space="preserve"> </w:t>
      </w:r>
      <w:r>
        <w:t xml:space="preserve">the split design: 958 is half of the 1,917 patients in our fold-9 evaluation</w:t>
      </w:r>
      <w:r>
        <w:t xml:space="preserve"> </w:t>
      </w:r>
      <w:r>
        <w:t xml:space="preserve">subset, and another design would give another value. The design effect</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depends on the model, because</w:t>
      </w:r>
      <w:r>
        <w:t xml:space="preserve"> </w:t>
      </w:r>
      <m:oMath>
        <m:r>
          <m:t>ρ</m:t>
        </m:r>
      </m:oMath>
      <w:r>
        <w:t xml:space="preserve"> </w:t>
      </w:r>
      <w:r>
        <w:t xml:space="preserve">is the ICC of</w:t>
      </w:r>
      <w:r>
        <w:t xml:space="preserve"> </w:t>
      </w:r>
      <w:r>
        <w:t xml:space="preserve">conformity scores produced by a particular backbone. Only</w:t>
      </w:r>
      <w:r>
        <w:t xml:space="preserve"> </w:t>
      </w:r>
      <m:oMath>
        <m:r>
          <m:t>H</m:t>
        </m:r>
      </m:oMath>
      <w:r>
        <w:t xml:space="preserve"> </w:t>
      </w:r>
      <w:r>
        <w:t xml:space="preserve">is purely</w:t>
      </w:r>
      <w:r>
        <w:t xml:space="preserve"> </w:t>
      </w:r>
      <w:r>
        <w:t xml:space="preserve">structural. The design effect should therefore not be quoted as a characteristic</w:t>
      </w:r>
      <w:r>
        <w:t xml:space="preserve"> </w:t>
      </w:r>
      <w:r>
        <w:t xml:space="preserve">of either dataset.</w:t>
      </w:r>
    </w:p>
    <w:p>
      <w:pPr>
        <w:pStyle w:val="BodyText"/>
        <w:jc w:val="both"/>
      </w:pPr>
      <w:r>
        <w:t xml:space="preserve">Challenge 2021 is not used to support any claim of generality. Its role is</w:t>
      </w:r>
      <w:r>
        <w:t xml:space="preserve"> </w:t>
      </w:r>
      <w:r>
        <w:t xml:space="preserve">narrow: to provide a case in which the diagnostic returns a verdict</w:t>
      </w:r>
      <w:r>
        <w:t xml:space="preserve"> </w:t>
      </w:r>
      <w:r>
        <w:rPr>
          <w:i/>
          <w:iCs/>
        </w:rPr>
        <w:t xml:space="preserve">other than</w:t>
      </w:r>
      <w:r>
        <w:t xml:space="preserve"> </w:t>
      </w:r>
      <w:r>
        <w:t xml:space="preserve">“admissible”</w:t>
      </w:r>
      <w:r>
        <w:t xml:space="preserve">. A diagnostic that has only ever returned</w:t>
      </w:r>
      <w:r>
        <w:t xml:space="preserve"> </w:t>
      </w:r>
      <w:r>
        <w:t xml:space="preserve">“admissible”</w:t>
      </w:r>
      <w:r>
        <w:t xml:space="preserve"> </w:t>
      </w:r>
      <w:r>
        <w:t xml:space="preserve">has not</w:t>
      </w:r>
      <w:r>
        <w:t xml:space="preserve"> </w:t>
      </w:r>
      <w:r>
        <w:t xml:space="preserve">demonstrated that it discriminates.</w:t>
      </w:r>
    </w:p>
    <w:bookmarkEnd w:id="37"/>
    <w:bookmarkStart w:id="38" w:name="ptb-xl"/>
    <w:p>
      <w:pPr>
        <w:pStyle w:val="Heading2"/>
      </w:pPr>
      <w:r>
        <w:t xml:space="preserve">6.2 PTB-XL</w:t>
      </w:r>
    </w:p>
    <w:p>
      <w:pPr>
        <w:pStyle w:val="FirstParagraph"/>
        <w:jc w:val="both"/>
      </w:pPr>
      <w:r>
        <w:t xml:space="preserve">PTB-XL [2], [15] comprises 21,799 twelve-lead records from 18,869 patients, released</w:t>
      </w:r>
      <w:r>
        <w:t xml:space="preserve"> </w:t>
      </w:r>
      <w:r>
        <w:t xml:space="preserve">under a permissive licence with full metadata. We use the 100 Hz variant,</w:t>
      </w:r>
      <w:r>
        <w:t xml:space="preserve"> </w:t>
      </w:r>
      <w:r>
        <w:t xml:space="preserve">yielding 1,000 samples per 10-second record, band-pass filtered at 0.5–40 Hz.</w:t>
      </w:r>
    </w:p>
    <w:p>
      <w:pPr>
        <w:pStyle w:val="BodyText"/>
        <w:jc w:val="both"/>
      </w:pPr>
      <w:r>
        <w:rPr>
          <w:b/>
          <w:bCs/>
        </w:rPr>
        <w:t xml:space="preserve">Label structure.</w:t>
      </w:r>
      <w:r>
        <w:t xml:space="preserve"> </w:t>
      </w:r>
      <w:r>
        <w:t xml:space="preserve">Diagnostic statements map to five non-exclusive</w:t>
      </w:r>
      <w:r>
        <w:t xml:space="preserve"> </w:t>
      </w:r>
      <w:r>
        <w:t xml:space="preserve">superclasses: NORM (9,514), MI (5,469), STTC (5,235), CD (4,898), and HYP</w:t>
      </w:r>
      <w:r>
        <w:t xml:space="preserve"> </w:t>
      </w:r>
      <w:r>
        <w:t xml:space="preserve">(2,649). The 27,765 superclass labels across 21,799 records confirm genuine</w:t>
      </w:r>
      <w:r>
        <w:t xml:space="preserve"> </w:t>
      </w:r>
      <w:r>
        <w:t xml:space="preserve">multi-label structure, with 5,144 records carrying more than one superclass.</w:t>
      </w:r>
      <w:r>
        <w:t xml:space="preserve"> </w:t>
      </w:r>
      <w:r>
        <w:t xml:space="preserve">411 records (1.9%) carry no diagnostic superclass and are excluded from</w:t>
      </w:r>
      <w:r>
        <w:t xml:space="preserve"> </w:t>
      </w:r>
      <w:r>
        <w:t xml:space="preserve">evaluation rather than assigned a default class.</w:t>
      </w:r>
    </w:p>
    <w:p>
      <w:pPr>
        <w:pStyle w:val="BodyText"/>
        <w:jc w:val="both"/>
      </w:pPr>
      <w:r>
        <w:rPr>
          <w:b/>
          <w:bCs/>
        </w:rPr>
        <w:t xml:space="preserve">Block structure.</w:t>
      </w:r>
      <w:r>
        <w:t xml:space="preserve"> </w:t>
      </w:r>
      <w:r>
        <w:t xml:space="preserve">The dataset is only mildly clustered at the patient level:</w:t>
      </w:r>
      <w:r>
        <w:t xml:space="preserve"> </w:t>
      </w:r>
      <w:r>
        <w:t xml:space="preserve">mean 1.155 records per patient, maximum 10, with 88.8% of patients contributing</w:t>
      </w:r>
      <w:r>
        <w:t xml:space="preserve"> </w:t>
      </w:r>
      <w:r>
        <w:t xml:space="preserve">a single record. In total 5,041 records (23.1%) belong to multi-record</w:t>
      </w:r>
      <w:r>
        <w:t xml:space="preserve"> </w:t>
      </w:r>
      <w:r>
        <w:t xml:space="preserve">patients. This mildness is precisely what makes PTB-XL the low-dose end of the</w:t>
      </w:r>
      <w:r>
        <w:t xml:space="preserve"> </w:t>
      </w:r>
      <w:r>
        <w:t xml:space="preserve">design-effect axis.</w:t>
      </w:r>
    </w:p>
    <w:p>
      <w:pPr>
        <w:pStyle w:val="BodyText"/>
        <w:jc w:val="both"/>
      </w:pPr>
      <w:r>
        <w:rPr>
          <w:b/>
          <w:bCs/>
        </w:rPr>
        <w:t xml:space="preserve">Additional dependence sources.</w:t>
      </w:r>
      <w:r>
        <w:t xml:space="preserve"> </w:t>
      </w:r>
      <w:r>
        <w:t xml:space="preserve">Beyond patient identity, the metadata exposes</w:t>
      </w:r>
      <w:r>
        <w:t xml:space="preserve"> </w:t>
      </w:r>
      <w:r>
        <w:t xml:space="preserve">three further grouping variables: 51 recording sites (17 records missing),</w:t>
      </w:r>
      <w:r>
        <w:t xml:space="preserve"> </w:t>
      </w:r>
      <w:r>
        <w:t xml:space="preserve">12 nurses (1,473 missing), and 11 devices (complete). These are</w:t>
      </w:r>
      <w:r>
        <w:t xml:space="preserve"> </w:t>
      </w:r>
      <w:r>
        <w:rPr>
          <w:i/>
          <w:iCs/>
        </w:rPr>
        <w:t xml:space="preserve">crossed</w:t>
      </w:r>
      <w:r>
        <w:t xml:space="preserve"> </w:t>
      </w:r>
      <w:r>
        <w:t xml:space="preserve">rather than nested, which is the empirical basis for the impossibility</w:t>
      </w:r>
      <w:r>
        <w:t xml:space="preserve"> </w:t>
      </w:r>
      <w:r>
        <w:t xml:space="preserve">result of Section 5.2.</w:t>
      </w:r>
    </w:p>
    <w:p>
      <w:pPr>
        <w:pStyle w:val="BodyText"/>
        <w:jc w:val="both"/>
      </w:pPr>
      <w:r>
        <w:rPr>
          <w:b/>
          <w:bCs/>
        </w:rPr>
        <w:t xml:space="preserve">Official folds.</w:t>
      </w:r>
      <w:r>
        <w:t xml:space="preserve"> </w:t>
      </w:r>
      <w:r>
        <w:t xml:space="preserve">The published stratified 10-fold split is used unchanged:</w:t>
      </w:r>
      <w:r>
        <w:t xml:space="preserve"> </w:t>
      </w:r>
      <w:r>
        <w:t xml:space="preserve">17,418 records in folds 1–8, 2,183 in fold 9, and 2,198 in fold 10. No patient</w:t>
      </w:r>
      <w:r>
        <w:t xml:space="preserve"> </w:t>
      </w:r>
      <w:r>
        <w:t xml:space="preserve">crosses a fold boundary. Crucially, human validation differs sharply between</w:t>
      </w:r>
      <w:r>
        <w:t xml:space="preserve"> </w:t>
      </w:r>
      <w:r>
        <w:t xml:space="preserve">folds: 67.0% on average across folds 1–8 (range 64–68%), against 100% on</w:t>
      </w:r>
      <w:r>
        <w:t xml:space="preserve"> </w:t>
      </w:r>
      <w:r>
        <w:t xml:space="preserve">folds 9 and 10. All confirmatory analysis is therefore confined to folds 9–10;</w:t>
      </w:r>
      <w:r>
        <w:t xml:space="preserve"> </w:t>
      </w:r>
      <w:r>
        <w:t xml:space="preserve">fold 10 is reserved and has not been examined.</w:t>
      </w:r>
    </w:p>
    <w:p>
      <w:pPr>
        <w:pStyle w:val="BodyText"/>
        <w:jc w:val="both"/>
      </w:pPr>
      <w:r>
        <w:rPr>
          <w:b/>
          <w:bCs/>
        </w:rPr>
        <w:t xml:space="preserve">Demographics.</w:t>
      </w:r>
      <w:r>
        <w:t xml:space="preserve"> </w:t>
      </w:r>
      <w:r>
        <w:t xml:space="preserve">Age is complete for all records (median 62); sex is recorded</w:t>
      </w:r>
      <w:r>
        <w:t xml:space="preserve"> </w:t>
      </w:r>
      <w:r>
        <w:t xml:space="preserve">as 11,354 male and 10,445 female. Note that PTB-XL encodes ages above 89 as the</w:t>
      </w:r>
      <w:r>
        <w:t xml:space="preserve"> </w:t>
      </w:r>
      <w:r>
        <w:t xml:space="preserve">sentinel value 300, affecting 293 records — treating this as a numeric</w:t>
      </w:r>
      <w:r>
        <w:t xml:space="preserve"> </w:t>
      </w:r>
      <w:r>
        <w:t xml:space="preserve">age would corrupt any age-stratified analysis.</w:t>
      </w:r>
    </w:p>
    <w:bookmarkEnd w:id="38"/>
    <w:bookmarkStart w:id="39" w:name="mit-bih-arrhythmia-database"/>
    <w:p>
      <w:pPr>
        <w:pStyle w:val="Heading2"/>
      </w:pPr>
      <w:r>
        <w:t xml:space="preserve">6.3 MIT-BIH Arrhythmia Database</w:t>
      </w:r>
    </w:p>
    <w:p>
      <w:pPr>
        <w:pStyle w:val="FirstParagraph"/>
        <w:jc w:val="both"/>
      </w:pPr>
      <w:r>
        <w:t xml:space="preserve">The MIT-BIH Arrhythmia Database [16] contains 48 half-hour two-channel recordings at 360 Hz with</w:t>
      </w:r>
      <w:r>
        <w:t xml:space="preserve"> </w:t>
      </w:r>
      <w:r>
        <w:t xml:space="preserve">beat-by-beat cardiologist annotations. Following standard practice we exclude</w:t>
      </w:r>
      <w:r>
        <w:t xml:space="preserve"> </w:t>
      </w:r>
      <w:r>
        <w:t xml:space="preserve">the four paced records (102, 104, 107, 217), leaving 44.</w:t>
      </w:r>
    </w:p>
    <w:p>
      <w:pPr>
        <w:pStyle w:val="BodyText"/>
        <w:jc w:val="both"/>
      </w:pPr>
      <w:r>
        <w:rPr>
          <w:b/>
          <w:bCs/>
        </w:rPr>
        <w:t xml:space="preserve">Beat extraction.</w:t>
      </w:r>
      <w:r>
        <w:t xml:space="preserve"> </w:t>
      </w:r>
      <w:r>
        <w:t xml:space="preserve">Annotations are mapped to the five AAMI classes, yielding</w:t>
      </w:r>
      <w:r>
        <w:t xml:space="preserve"> </w:t>
      </w:r>
      <w:r>
        <w:t xml:space="preserve">100,733 beats. Of these, 40 lie within 128 samples of a recording boundary</w:t>
      </w:r>
      <w:r>
        <w:t xml:space="preserve"> </w:t>
      </w:r>
      <w:r>
        <w:t xml:space="preserve">and cannot yield a complete 256-sample (711 ms) window; they are dropped rather</w:t>
      </w:r>
      <w:r>
        <w:t xml:space="preserve"> </w:t>
      </w:r>
      <w:r>
        <w:t xml:space="preserve">than zero-padded, leaving 100,693 beats.</w:t>
      </w:r>
    </w:p>
    <w:p>
      <w:pPr>
        <w:pStyle w:val="BodyText"/>
        <w:jc w:val="both"/>
      </w:pPr>
      <w:r>
        <w:rPr>
          <w:b/>
          <w:bCs/>
        </w:rPr>
        <w:t xml:space="preserve">Channel selection.</w:t>
      </w:r>
      <w:r>
        <w:t xml:space="preserve"> </w:t>
      </w:r>
      <w:r>
        <w:t xml:space="preserve">The MLII lead is selected by name rather than by</w:t>
      </w:r>
      <w:r>
        <w:t xml:space="preserve"> </w:t>
      </w:r>
      <w:r>
        <w:t xml:space="preserve">index. Record 114 stores its channels in the order</w:t>
      </w:r>
      <w:r>
        <w:t xml:space="preserve"> </w:t>
      </w:r>
      <w:r>
        <w:rPr>
          <w:rStyle w:val="VerbatimChar"/>
        </w:rPr>
        <w:t xml:space="preserve">[V5, MLII]</w:t>
      </w:r>
      <w:r>
        <w:t xml:space="preserve">, so index-based</w:t>
      </w:r>
      <w:r>
        <w:t xml:space="preserve"> </w:t>
      </w:r>
      <w:r>
        <w:t xml:space="preserve">selection silently substitutes a different lead for that record, with no error</w:t>
      </w:r>
      <w:r>
        <w:t xml:space="preserve"> </w:t>
      </w:r>
      <w:r>
        <w:t xml:space="preserve">raised.</w:t>
      </w:r>
    </w:p>
    <w:p>
      <w:pPr>
        <w:pStyle w:val="BodyText"/>
        <w:jc w:val="both"/>
      </w:pPr>
      <w:r>
        <w:rPr>
          <w:b/>
          <w:bCs/>
        </w:rPr>
        <w:t xml:space="preserve">Class distribution.</w:t>
      </w:r>
      <w:r>
        <w:t xml:space="preserve"> </w:t>
      </w:r>
      <w:r>
        <w:t xml:space="preserve">N: 90,087 · S: 2,781 · V: 7,008 · F: 802 · Q: 15.</w:t>
      </w:r>
      <w:r>
        <w:t xml:space="preserve"> </w:t>
      </w:r>
      <w:r>
        <w:t xml:space="preserve">Class Q is degenerate and is reported as such throughout rather than being</w:t>
      </w:r>
      <w:r>
        <w:t xml:space="preserve"> </w:t>
      </w:r>
      <w:r>
        <w:t xml:space="preserve">merged away.</w:t>
      </w:r>
    </w:p>
    <w:p>
      <w:pPr>
        <w:pStyle w:val="BodyText"/>
        <w:jc w:val="both"/>
      </w:pPr>
      <w:r>
        <w:rPr>
          <w:b/>
          <w:bCs/>
        </w:rPr>
        <w:t xml:space="preserve">Inter-patient split.</w:t>
      </w:r>
      <w:r>
        <w:t xml:space="preserve"> </w:t>
      </w:r>
      <w:r>
        <w:t xml:space="preserve">We adopt the canonical DS1/DS2 partition (22 records</w:t>
      </w:r>
      <w:r>
        <w:t xml:space="preserve"> </w:t>
      </w:r>
      <w:r>
        <w:t xml:space="preserve">each; 51,000 and 49,693 beats respectively after boundary removal). Across the 44</w:t>
      </w:r>
      <w:r>
        <w:t xml:space="preserve"> </w:t>
      </w:r>
      <w:r>
        <w:t xml:space="preserve">retained records, sizes range from 1,517 to 3,361 beats with median 2,257 — three</w:t>
      </w:r>
      <w:r>
        <w:t xml:space="preserve"> </w:t>
      </w:r>
      <w:r>
        <w:t xml:space="preserve">orders of magnitude above PTB-XL’s block sizes, which is the property that places</w:t>
      </w:r>
      <w:r>
        <w:t xml:space="preserve"> </w:t>
      </w:r>
      <w:r>
        <w:t xml:space="preserve">MIT-BIH at the high-dose end of the axis.</w:t>
      </w:r>
    </w:p>
    <w:p>
      <w:pPr>
        <w:pStyle w:val="BodyText"/>
        <w:jc w:val="both"/>
      </w:pPr>
      <w:r>
        <w:rPr>
          <w:b/>
          <w:bCs/>
        </w:rPr>
        <w:t xml:space="preserve">Known limitation, retained rather than repaired.</w:t>
      </w:r>
      <w:r>
        <w:t xml:space="preserve"> </w:t>
      </w:r>
      <w:r>
        <w:t xml:space="preserve">Records 201 and 202 belong</w:t>
      </w:r>
      <w:r>
        <w:t xml:space="preserve"> </w:t>
      </w:r>
      <w:r>
        <w:t xml:space="preserve">to the same subject and fall on opposite sides of the canonical split. We keep</w:t>
      </w:r>
      <w:r>
        <w:t xml:space="preserve"> </w:t>
      </w:r>
      <w:r>
        <w:t xml:space="preserve">the standard partition for comparability with prior work and state the leak</w:t>
      </w:r>
      <w:r>
        <w:t xml:space="preserve"> </w:t>
      </w:r>
      <w:r>
        <w:t xml:space="preserve">explicitly.</w:t>
      </w:r>
    </w:p>
    <w:bookmarkEnd w:id="39"/>
    <w:bookmarkStart w:id="40" w:name="Xd46ce34465608c4b352733c086ebedbb1c7b921"/>
    <w:p>
      <w:pPr>
        <w:pStyle w:val="Heading2"/>
      </w:pPr>
      <w:r>
        <w:t xml:space="preserve">6.4 Challenge 2021 — an observability-limited case</w:t>
      </w:r>
    </w:p>
    <w:p>
      <w:pPr>
        <w:pStyle w:val="FirstParagraph"/>
        <w:jc w:val="both"/>
      </w:pPr>
      <w:r>
        <w:rPr>
          <w:b/>
          <w:bCs/>
        </w:rPr>
        <w:t xml:space="preserve">Structure.</w:t>
      </w:r>
      <w:r>
        <w:t xml:space="preserve"> </w:t>
      </w:r>
      <w:r>
        <w:t xml:space="preserve">The PhysioNet/CinC Challenge 2021 collection [17] spans seven</w:t>
      </w:r>
      <w:r>
        <w:t xml:space="preserve"> </w:t>
      </w:r>
      <w:r>
        <w:t xml:space="preserve">non-duplicate source folders containing 66,416 records, from</w:t>
      </w:r>
      <w:r>
        <w:t xml:space="preserve"> </w:t>
      </w:r>
      <w:r>
        <w:rPr>
          <w:rStyle w:val="VerbatimChar"/>
        </w:rPr>
        <w:t xml:space="preserve">ningbo</w:t>
      </w:r>
      <w:r>
        <w:t xml:space="preserve"> </w:t>
      </w:r>
      <w:r>
        <w:t xml:space="preserve">(34,905)</w:t>
      </w:r>
      <w:r>
        <w:t xml:space="preserve"> </w:t>
      </w:r>
      <w:r>
        <w:t xml:space="preserve">to</w:t>
      </w:r>
      <w:r>
        <w:t xml:space="preserve"> </w:t>
      </w:r>
      <w:r>
        <w:rPr>
          <w:rStyle w:val="VerbatimChar"/>
        </w:rPr>
        <w:t xml:space="preserve">st_petersburg_incart</w:t>
      </w:r>
      <w:r>
        <w:t xml:space="preserve"> </w:t>
      </w:r>
      <w:r>
        <w:t xml:space="preserve">(74); the</w:t>
      </w:r>
      <w:r>
        <w:t xml:space="preserve"> </w:t>
      </w:r>
      <w:r>
        <w:rPr>
          <w:rStyle w:val="VerbatimChar"/>
        </w:rPr>
        <w:t xml:space="preserve">ptb-xl</w:t>
      </w:r>
      <w:r>
        <w:t xml:space="preserve"> </w:t>
      </w:r>
      <w:r>
        <w:t xml:space="preserve">folder (21,837 records) is excluded</w:t>
      </w:r>
      <w:r>
        <w:t xml:space="preserve"> </w:t>
      </w:r>
      <w:r>
        <w:t xml:space="preserve">as a duplicate of §6.2, and the two totals sum to the official 88,253.</w:t>
      </w:r>
    </w:p>
    <w:p>
      <w:pPr>
        <w:pStyle w:val="BodyText"/>
        <w:jc w:val="both"/>
      </w:pPr>
      <w:r>
        <w:rPr>
          <w:b/>
          <w:bCs/>
        </w:rPr>
        <w:t xml:space="preserve">The patient partition is not documented.</w:t>
      </w:r>
      <w:r>
        <w:t xml:space="preserve"> </w:t>
      </w:r>
      <w:r>
        <w:t xml:space="preserve">In a sample of 42 headers drawn</w:t>
      </w:r>
      <w:r>
        <w:t xml:space="preserve"> </w:t>
      </w:r>
      <w:r>
        <w:t xml:space="preserve">from all seven sources, the fields present were</w:t>
      </w:r>
      <w:r>
        <w:t xml:space="preserve">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w:t>
      </w:r>
      <w:r>
        <w:t xml:space="preserve">and, in five sources,</w:t>
      </w:r>
      <w:r>
        <w:t xml:space="preserve"> </w:t>
      </w:r>
      <w:r>
        <w:rPr>
          <w:rStyle w:val="VerbatimChar"/>
        </w:rPr>
        <w:t xml:space="preserve">#Sx</w:t>
      </w:r>
      <w:r>
        <w:t xml:space="preserve">; none is documented as a patient identifier.</w:t>
      </w:r>
      <w:r>
        <w:t xml:space="preserve"> </w:t>
      </w:r>
      <w:r>
        <w:t xml:space="preserve">This is a sample, not a census, and the header schema varies across sources, so</w:t>
      </w:r>
      <w:r>
        <w:t xml:space="preserve"> </w:t>
      </w:r>
      <w:r>
        <w:t xml:space="preserve">we claim only that no documented identifier appears in a sample spanning every</w:t>
      </w:r>
      <w:r>
        <w:t xml:space="preserve"> </w:t>
      </w:r>
      <w:r>
        <w:t xml:space="preserve">source. Repetition, by contrast,</w:t>
      </w:r>
      <w:r>
        <w:t xml:space="preserve"> </w:t>
      </w:r>
      <w:r>
        <w:rPr>
          <w:i/>
          <w:iCs/>
        </w:rPr>
        <w:t xml:space="preserve">is</w:t>
      </w:r>
      <w:r>
        <w:t xml:space="preserve"> </w:t>
      </w:r>
      <w:r>
        <w:t xml:space="preserve">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t xml:space="preserve">excluded</w:t>
      </w:r>
      <w:r>
        <w:t xml:space="preserve"> </w:t>
      </w:r>
      <w:r>
        <w:rPr>
          <w:rStyle w:val="VerbatimChar"/>
        </w:rPr>
        <w:t xml:space="preserve">ptb-xl</w:t>
      </w:r>
      <w:r>
        <w:t xml:space="preserve"> </w:t>
      </w:r>
      <w:r>
        <w:t xml:space="preserve">folder holds 21,837 records from 18,869 patients. The number of</w:t>
      </w:r>
      <w:r>
        <w:t xml:space="preserve"> </w:t>
      </w:r>
      <w:r>
        <w:t xml:space="preserve">records therefore exceeds the number of independent units, while the identifier</w:t>
      </w:r>
      <w:r>
        <w:t xml:space="preserve"> </w:t>
      </w:r>
      <w:r>
        <w:t xml:space="preserve">needed to form blocks is absent. An unobservable partition is not evidence of</w:t>
      </w:r>
      <w:r>
        <w:t xml:space="preserve"> </w:t>
      </w:r>
      <w:r>
        <w:t xml:space="preserve">independence.</w:t>
      </w:r>
    </w:p>
    <w:p>
      <w:pPr>
        <w:pStyle w:val="BodyText"/>
        <w:jc w:val="both"/>
      </w:pPr>
      <w:r>
        <w:rPr>
          <w:b/>
          <w:bCs/>
        </w:rPr>
        <w:t xml:space="preserve">Consequence for feasibility.</w:t>
      </w:r>
      <w:r>
        <w:t xml:space="preserve"> </w:t>
      </w:r>
      <w:r>
        <w:t xml:space="preserve">The only documented grouping is the source</w:t>
      </w:r>
      <w:r>
        <w:t xml:space="preserve"> </w:t>
      </w:r>
      <w:r>
        <w:t xml:space="preserve">partition, with</w:t>
      </w:r>
      <w:r>
        <w:t xml:space="preserve"> </w:t>
      </w:r>
      <m:oMath>
        <m:r>
          <m:t>K</m:t>
        </m:r>
        <m:r>
          <m:rPr>
            <m:sty m:val="p"/>
          </m:rPr>
          <m:t>=</m:t>
        </m:r>
        <m:r>
          <m:t>7</m:t>
        </m:r>
      </m:oMath>
      <w:r>
        <w:t xml:space="preserve">; by Proposition 1 any calibration on it has</w:t>
      </w:r>
      <w:r>
        <w:t xml:space="preserve"> </w:t>
      </w:r>
      <m:oMath>
        <m:sSub>
          <m:e>
            <m:r>
              <m:t>α</m:t>
            </m:r>
          </m:e>
          <m:sub>
            <m:r>
              <m:rPr>
                <m:sty m:val="p"/>
              </m:rPr>
              <m:t>min</m:t>
            </m:r>
          </m:sub>
        </m:sSub>
        <m:r>
          <m:rPr>
            <m:sty m:val="p"/>
          </m:rPr>
          <m:t>≥</m:t>
        </m:r>
        <m:r>
          <m:t>1</m:t>
        </m:r>
        <m:r>
          <m:rPr>
            <m:sty m:val="p"/>
          </m:rPr>
          <m:t>/</m:t>
        </m:r>
        <m:r>
          <m:t>8</m:t>
        </m:r>
      </m:oMath>
      <w:r>
        <w:t xml:space="preserve">, and</w:t>
      </w:r>
      <w:r>
        <w:t xml:space="preserve"> </w:t>
      </w:r>
      <m:oMath>
        <m:r>
          <m:t>1</m:t>
        </m:r>
        <m:r>
          <m:rPr>
            <m:sty m:val="p"/>
          </m:rPr>
          <m:t>/</m:t>
        </m:r>
        <m:r>
          <m:t>7</m:t>
        </m:r>
      </m:oMath>
      <w:r>
        <w:t xml:space="preserve"> </w:t>
      </w:r>
      <w:r>
        <w:t xml:space="preserve">if one source is held out for testing. This</w:t>
      </w:r>
      <w:r>
        <w:t xml:space="preserve"> </w:t>
      </w:r>
      <w:r>
        <w:t xml:space="preserve">bound concerns the source partition, not the dataset. For the patient partition,</w:t>
      </w:r>
      <w:r>
        <w:t xml:space="preserve"> </w:t>
      </w:r>
      <m:oMath>
        <m:sSub>
          <m:e>
            <m:r>
              <m:t>K</m:t>
            </m:r>
          </m:e>
          <m:sub>
            <m:r>
              <m:t>1</m:t>
            </m:r>
          </m:sub>
        </m:sSub>
      </m:oMath>
      <w:r>
        <w:t xml:space="preserve"> </w:t>
      </w:r>
      <w:r>
        <w:t xml:space="preserve">ceases to be a computable quantity and becomes an assumption that an author</w:t>
      </w:r>
      <w:r>
        <w:t xml:space="preserve"> </w:t>
      </w:r>
      <w:r>
        <w:t xml:space="preserve">must state; we therefore report no single</w:t>
      </w:r>
      <w:r>
        <w:t xml:space="preserve"> </w:t>
      </w:r>
      <m:oMath>
        <m:sSub>
          <m:e>
            <m:r>
              <m:t>α</m:t>
            </m:r>
          </m:e>
          <m:sub>
            <m:r>
              <m:rPr>
                <m:sty m:val="p"/>
              </m:rPr>
              <m:t>min</m:t>
            </m:r>
          </m:sub>
        </m:sSub>
      </m:oMath>
      <w:r>
        <w:t xml:space="preserve"> </w:t>
      </w:r>
      <w:r>
        <w:t xml:space="preserve">for Challenge 2021.</w:t>
      </w:r>
      <w:r>
        <w:t xml:space="preserve"> </w:t>
      </w:r>
      <w:r>
        <w:t xml:space="preserve">Further, the sufficiency condition of §5.2 presupposes that dependence is</w:t>
      </w:r>
      <w:r>
        <w:t xml:space="preserve"> </w:t>
      </w:r>
      <w:r>
        <w:t xml:space="preserve">generated by a latent block structure [13]. If similarity within an institution</w:t>
      </w:r>
      <w:r>
        <w:t xml:space="preserve"> </w:t>
      </w:r>
      <w:r>
        <w:t xml:space="preserve">decayed continuously, for instance with proximity of acquisition protocol, no</w:t>
      </w:r>
      <w:r>
        <w:t xml:space="preserve"> </w:t>
      </w:r>
      <w:r>
        <w:t xml:space="preserve">partition would exist and the condition would be ill-posed rather than merely</w:t>
      </w:r>
      <w:r>
        <w:t xml:space="preserve"> </w:t>
      </w:r>
      <w:r>
        <w:t xml:space="preserve">unobservable.</w:t>
      </w:r>
    </w:p>
    <w:p>
      <w:pPr>
        <w:pStyle w:val="BodyText"/>
        <w:jc w:val="both"/>
      </w:pPr>
      <w:r>
        <w:rPr>
          <w:b/>
          <w:bCs/>
        </w:rPr>
        <w:t xml:space="preserve">Cost.</w:t>
      </w:r>
      <w:r>
        <w:t xml:space="preserve"> </w:t>
      </w:r>
      <w:r>
        <w:t xml:space="preserve">These checks required about 0.5 MB of downloads (70 index files and 42</w:t>
      </w:r>
      <w:r>
        <w:t xml:space="preserve"> </w:t>
      </w:r>
      <w:r>
        <w:t xml:space="preserve">headers) against a 12.6 GB dataset, and were completed before any preprocessing</w:t>
      </w:r>
      <w:r>
        <w:t xml:space="preserve"> </w:t>
      </w:r>
      <w:r>
        <w:t xml:space="preserve">or training.</w:t>
      </w:r>
    </w:p>
    <w:p>
      <w:pPr>
        <w:pStyle w:val="BodyText"/>
        <w:jc w:val="both"/>
      </w:pPr>
      <w:r>
        <w:rPr>
          <w:b/>
          <w:bCs/>
        </w:rPr>
        <w:t xml:space="preserve">Cost of the verdict.</w:t>
      </w:r>
      <w:r>
        <w:t xml:space="preserve"> </w:t>
      </w:r>
      <w:r>
        <w:t xml:space="preserve">All checks above required roughly 0.5 MB of downloads</w:t>
      </w:r>
      <w:r>
        <w:t xml:space="preserve"> </w:t>
      </w:r>
      <w:r>
        <w:t xml:space="preserve">(70 index files and 42 headers) against a 12.6 GB dataset, and were completed</w:t>
      </w:r>
      <w:r>
        <w:t xml:space="preserve"> </w:t>
      </w:r>
      <w:r>
        <w:t xml:space="preserve">before any preprocessing or model training.</w:t>
      </w:r>
    </w:p>
    <w:p>
      <w:r>
        <w:pict>
          <v:rect style="width:0;height:1.5pt" o:hralign="center" o:hrstd="t" o:hr="t"/>
        </w:pict>
      </w:r>
    </w:p>
    <w:bookmarkEnd w:id="40"/>
    <w:bookmarkEnd w:id="41"/>
    <w:bookmarkStart w:id="48" w:name="experimental-setup"/>
    <w:p>
      <w:pPr>
        <w:pStyle w:val="Heading1"/>
      </w:pPr>
      <w:r>
        <w:t xml:space="preserve">7. Experimental Setup</w:t>
      </w:r>
    </w:p>
    <w:bookmarkStart w:id="42" w:name="backbone"/>
    <w:p>
      <w:pPr>
        <w:pStyle w:val="Heading2"/>
      </w:pPr>
      <w:r>
        <w:t xml:space="preserve">7.1 Backbone</w:t>
      </w:r>
    </w:p>
    <w:p>
      <w:pPr>
        <w:pStyle w:val="FirstParagraph"/>
        <w:jc w:val="both"/>
      </w:pPr>
      <w:r>
        <w:t xml:space="preserve">Conformal guarantees are model-agnostic; the backbone affects the size of</w:t>
      </w:r>
      <w:r>
        <w:t xml:space="preserve"> </w:t>
      </w:r>
      <w:r>
        <w:t xml:space="preserve">prediction sets, not their validity. The primary backbone is therefore a</w:t>
      </w:r>
      <w:r>
        <w:t xml:space="preserve"> </w:t>
      </w:r>
      <w:r>
        <w:t xml:space="preserve">deliberately compact 1-D convolutional network (SmallECGNet) with 104,389</w:t>
      </w:r>
      <w:r>
        <w:t xml:space="preserve"> </w:t>
      </w:r>
      <w:r>
        <w:t xml:space="preserve">parameters for the 12-lead configuration and 101,925 for single-lead. To test</w:t>
      </w:r>
      <w:r>
        <w:t xml:space="preserve"> </w:t>
      </w:r>
      <w:r>
        <w:t xml:space="preserve">whether any finding depends on this choice, every audit is repeated with two 1-D</w:t>
      </w:r>
      <w:r>
        <w:t xml:space="preserve"> </w:t>
      </w:r>
      <w:r>
        <w:t xml:space="preserve">residual networks following the PTB-XL benchmark family [1]: ResNet1D-34</w:t>
      </w:r>
      <w:r>
        <w:t xml:space="preserve"> </w:t>
      </w:r>
      <w:r>
        <w:t xml:space="preserve">(7,225,733 / 7,220,805 parameters) and ResNet1D-50 (15,969,413 / 15,964,485).</w:t>
      </w:r>
      <w:r>
        <w:t xml:space="preserve"> </w:t>
      </w:r>
      <w:r>
        <w:t xml:space="preserve">The residual networks are trained with Adam (learning rate</w:t>
      </w:r>
      <w:r>
        <w:t xml:space="preserve"> </w:t>
      </w:r>
      <m:oMath>
        <m:sSup>
          <m:e>
            <m:r>
              <m:t>10</m:t>
            </m:r>
          </m:e>
          <m:sup>
            <m:r>
              <m:rPr>
                <m:sty m:val="p"/>
              </m:rPr>
              <m:t>−</m:t>
            </m:r>
            <m:r>
              <m:t>3</m:t>
            </m:r>
          </m:sup>
        </m:sSup>
      </m:oMath>
      <w:r>
        <w:t xml:space="preserve">), early</w:t>
      </w:r>
      <w:r>
        <w:t xml:space="preserve"> </w:t>
      </w:r>
      <w:r>
        <w:t xml:space="preserve">stopping on validation loss with patience 5, and a maximum of 25 (PTB-XL) or 30</w:t>
      </w:r>
      <w:r>
        <w:t xml:space="preserve"> </w:t>
      </w:r>
      <w:r>
        <w:t xml:space="preserve">(MIT-BIH) epochs; SmallECGNet weights are reused from the primary study without</w:t>
      </w:r>
      <w:r>
        <w:t xml:space="preserve"> </w:t>
      </w:r>
      <w:r>
        <w:t xml:space="preserve">retraining.</w:t>
      </w:r>
    </w:p>
    <w:p>
      <w:pPr>
        <w:pStyle w:val="BodyText"/>
        <w:jc w:val="both"/>
      </w:pPr>
      <w:r>
        <w:t xml:space="preserve">The primary backbone reaches macro-AUROC 0.9016 on PTB-XL and accuracy 0.8690</w:t>
      </w:r>
      <w:r>
        <w:t xml:space="preserve"> </w:t>
      </w:r>
      <w:r>
        <w:t xml:space="preserve">(balanced accuracy 0.3748, macro-F1 0.3144) on MIT-BIH. The MIT-BIH figures are</w:t>
      </w:r>
      <w:r>
        <w:t xml:space="preserve"> </w:t>
      </w:r>
      <w:r>
        <w:t xml:space="preserve">weak on minority classes; this affects set size and not coverage.</w:t>
      </w:r>
    </w:p>
    <w:bookmarkEnd w:id="42"/>
    <w:bookmarkStart w:id="43" w:name="splits"/>
    <w:p>
      <w:pPr>
        <w:pStyle w:val="Heading2"/>
      </w:pPr>
      <w:r>
        <w:t xml:space="preserve">7.2 Splits</w:t>
      </w:r>
    </w:p>
    <w:p>
      <w:pPr>
        <w:pStyle w:val="FirstParagraph"/>
        <w:jc w:val="both"/>
      </w:pPr>
      <w:r>
        <w:rPr>
          <w:b/>
          <w:bCs/>
        </w:rPr>
        <w:t xml:space="preserve">PTB-XL.</w:t>
      </w:r>
      <w:r>
        <w:t xml:space="preserve"> </w:t>
      </w:r>
      <w:r>
        <w:t xml:space="preserve">Folds 1–6 for training, fold 7 for validation, fold 9 for</w:t>
      </w:r>
      <w:r>
        <w:t xml:space="preserve"> </w:t>
      </w:r>
      <w:r>
        <w:t xml:space="preserve">calibration and evaluation, split at the patient level and repeated 200–400</w:t>
      </w:r>
      <w:r>
        <w:t xml:space="preserve"> </w:t>
      </w:r>
      <w:r>
        <w:t xml:space="preserve">times. Folds 8 and 10 are untouched: fold 8 because its label quality differs</w:t>
      </w:r>
      <w:r>
        <w:t xml:space="preserve"> </w:t>
      </w:r>
      <w:r>
        <w:t xml:space="preserve">from fold 9, and fold 10 because it is reserved for a single final confirmatory</w:t>
      </w:r>
      <w:r>
        <w:t xml:space="preserve"> </w:t>
      </w:r>
      <w:r>
        <w:t xml:space="preserve">evaluation.</w:t>
      </w:r>
    </w:p>
    <w:p>
      <w:pPr>
        <w:pStyle w:val="BodyText"/>
        <w:jc w:val="both"/>
      </w:pPr>
      <w:r>
        <w:rPr>
          <w:b/>
          <w:bCs/>
        </w:rPr>
        <w:t xml:space="preserve">MIT-BIH.</w:t>
      </w:r>
      <w:r>
        <w:t xml:space="preserve"> </w:t>
      </w:r>
      <w:r>
        <w:t xml:space="preserve">DS1 minus four validation records (124, 205, 215, 230) for</w:t>
      </w:r>
      <w:r>
        <w:t xml:space="preserve"> </w:t>
      </w:r>
      <w:r>
        <w:t xml:space="preserve">training; those four for validation; DS2 split 11/11 at the record level for</w:t>
      </w:r>
      <w:r>
        <w:t xml:space="preserve"> </w:t>
      </w:r>
      <w:r>
        <w:t xml:space="preserve">calibration and evaluation, repeated 200–400 times.</w:t>
      </w:r>
    </w:p>
    <w:bookmarkEnd w:id="43"/>
    <w:bookmarkStart w:id="44" w:name="conformity-scores"/>
    <w:p>
      <w:pPr>
        <w:pStyle w:val="Heading2"/>
      </w:pPr>
      <w:r>
        <w:t xml:space="preserve">7.3 Conformity scores</w:t>
      </w:r>
    </w:p>
    <w:p>
      <w:pPr>
        <w:pStyle w:val="FirstParagraph"/>
        <w:jc w:val="both"/>
      </w:pPr>
      <w:r>
        <w:t xml:space="preserve">For multi-class MIT-BIH we use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For multi-label PTB-XL</w:t>
      </w:r>
      <w:r>
        <w:t xml:space="preserve"> </w:t>
      </w:r>
      <w:r>
        <w:t xml:space="preserve">the per-label score is</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and the record-level score for</w:t>
      </w:r>
      <w:r>
        <w:t xml:space="preserve"> </w:t>
      </w:r>
      <w:r>
        <w:t xml:space="preserve">superset coverage is the maximum over true labels — the construction that, as</w:t>
      </w:r>
      <w:r>
        <w:t xml:space="preserve"> </w:t>
      </w:r>
      <w:r>
        <w:t xml:space="preserve">noted in §5.3.1, reduces exactly to scalar HCP.</w:t>
      </w:r>
    </w:p>
    <w:bookmarkEnd w:id="44"/>
    <w:bookmarkStart w:id="45" w:name="methods-compared"/>
    <w:p>
      <w:pPr>
        <w:pStyle w:val="Heading2"/>
      </w:pPr>
      <w:r>
        <w:t xml:space="preserve">7.4 Methods compared</w:t>
      </w:r>
    </w:p>
    <w:p>
      <w:pPr>
        <w:pStyle w:val="FirstParagraph"/>
        <w:jc w:val="both"/>
      </w:pPr>
      <w:r>
        <w:t xml:space="preserve">The audit compares two procedures: split conformal prediction calibrated as if</w:t>
      </w:r>
      <w:r>
        <w:t xml:space="preserve"> </w:t>
      </w:r>
      <w:r>
        <w:t xml:space="preserve">records or beats were exchangeable (B1), and HCP calibrated at the block level</w:t>
      </w:r>
      <w:r>
        <w:t xml:space="preserve"> </w:t>
      </w:r>
      <w:r>
        <w:t xml:space="preserve">(B12) [13]. The question is whether a guarantee can be enforced at all, not which</w:t>
      </w:r>
      <w:r>
        <w:t xml:space="preserve"> </w:t>
      </w:r>
      <w:r>
        <w:t xml:space="preserve">hierarchical construction is most efficient; the alternatives of Dunn et al.</w:t>
      </w:r>
      <w:r>
        <w:t xml:space="preserve"> </w:t>
      </w:r>
      <w:r>
        <w:t xml:space="preserve">[14] and non-hierarchical variants such as Mondrian conformal prediction are</w:t>
      </w:r>
      <w:r>
        <w:t xml:space="preserve"> </w:t>
      </w:r>
      <w:r>
        <w:t xml:space="preserve">therefore outside the scope of the comparison.</w:t>
      </w:r>
    </w:p>
    <w:bookmarkEnd w:id="45"/>
    <w:bookmarkStart w:id="46" w:name="statistical-analysis"/>
    <w:p>
      <w:pPr>
        <w:pStyle w:val="Heading2"/>
      </w:pPr>
      <w:r>
        <w:t xml:space="preserve">7.5 Statistical analysis</w:t>
      </w:r>
    </w:p>
    <w:p>
      <w:pPr>
        <w:pStyle w:val="FirstParagraph"/>
        <w:jc w:val="both"/>
      </w:pPr>
      <w:r>
        <w:t xml:space="preserve">The procedures are summarized in Table IV. Every resampling step operates on</w:t>
      </w:r>
      <w:r>
        <w:t xml:space="preserve"> </w:t>
      </w:r>
      <w:r>
        <w:t xml:space="preserve">blocks — patients or records — never on individual records or beats, since doing</w:t>
      </w:r>
      <w:r>
        <w:t xml:space="preserve"> </w:t>
      </w:r>
      <w:r>
        <w:t xml:space="preserve">otherwise would reproduce the error this paper analyzes.</w:t>
      </w:r>
    </w:p>
    <w:p>
      <w:pPr>
        <w:pStyle w:val="BodyText"/>
        <w:keepNext/>
        <w:spacing w:before="160"/>
        <w:jc w:val="center"/>
      </w:pPr>
      <w:r/>
      <w:r>
        <w:rPr>
          <w:sz w:val="18"/>
        </w:rPr>
        <w:t>TABLE IV</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pPr>
            <w:r>
              <w:rPr>
                <w:b/>
                <w:sz w:val="17"/>
              </w:rPr>
              <w:t xml:space="preserve">Quantity</w:t>
            </w:r>
          </w:p>
        </w:tc>
        <w:tc>
          <w:tcPr/>
          <w:p>
            <w:pPr>
              <w:pStyle w:val="Compact"/>
            </w:pPr>
            <w:r>
              <w:rPr>
                <w:b/>
                <w:sz w:val="17"/>
              </w:rPr>
              <w:t xml:space="preserve">Procedure</w:t>
            </w:r>
          </w:p>
        </w:tc>
      </w:tr>
      <w:t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c>
          <w:tcPr/>
          <w:p>
            <w:pPr>
              <w:pStyle w:val="Compact"/>
            </w:pPr>
            <w:r>
              <w:rPr>
                <w:sz w:val="17"/>
              </w:rPr>
              <w:t xml:space="preserve">B1 deficit against the permutation null</w:t>
            </w:r>
          </w:p>
        </w:tc>
        <w:tc>
          <w:tcPr/>
          <w:p>
            <w:pPr>
              <w:pStyle w:val="Compact"/>
            </w:pPr>
            <w:r>
              <w:rPr>
                <w:sz w:val="17"/>
              </w:rPr>
              <w:t xml:space="preserve">Percentile bootstrap (4,000 resamples of split-level coverage), 95% CI; one-sided bootstrap</w:t>
            </w:r>
            <w:r>
              <w:rPr>
                <w:sz w:val="17"/>
              </w:rPr>
              <w:t xml:space="preserve"> </w:t>
            </w:r>
            <m:oMath>
              <m:r>
                <m:t>p</m:t>
              </m:r>
            </m:oMath>
          </w:p>
        </w:tc>
      </w:tr>
      <w:t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pPr>
            <w:r>
              <w:rPr>
                <w:sz w:val="17"/>
              </w:rPr>
              <w:t xml:space="preserve">Factorial effects</w:t>
            </w:r>
          </w:p>
        </w:tc>
        <w:tc>
          <w:tcPr/>
          <w:p>
            <w:pPr>
              <w:pStyle w:val="Compact"/>
            </w:pPr>
            <w:r>
              <w:rPr>
                <w:sz w:val="17"/>
              </w:rPr>
              <w:t xml:space="preserve">Percentile bootstrap (3,000 resamples of 400 split-level values), 95% CI</w:t>
            </w:r>
          </w:p>
        </w:tc>
      </w:tr>
      <w:tr>
        <w:tc>
          <w:tcPr/>
          <w:p>
            <w:pPr>
              <w:pStyle w:val="Compact"/>
            </w:pPr>
            <w:r>
              <w:rPr>
                <w:sz w:val="17"/>
              </w:rPr>
              <w:t xml:space="preserve">Monotonicity in dependence</w:t>
            </w:r>
          </w:p>
        </w:tc>
        <w:tc>
          <w:tcPr/>
          <w:p>
            <w:pPr>
              <w:pStyle w:val="Compac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p>
      <w:pPr>
        <w:pStyle w:val="BodyText"/>
        <w:jc w:val="both"/>
      </w:pPr>
      <w:r>
        <w:t xml:space="preserve">Friedman and Nemenyi tests are not used. The procedure of Demšar is designed for</w:t>
      </w:r>
      <w:r>
        <w:t xml:space="preserve"> </w:t>
      </w:r>
      <w:r>
        <w:t xml:space="preserve">comparing many classifiers across many datasets, conventionally at least five;</w:t>
      </w:r>
      <w:r>
        <w:t xml:space="preserve"> </w:t>
      </w:r>
      <w:r>
        <w:t xml:space="preserve">with two datasets it is uninformative.</w:t>
      </w:r>
    </w:p>
    <w:bookmarkEnd w:id="46"/>
    <w:bookmarkStart w:id="47" w:name="reproducibility"/>
    <w:p>
      <w:pPr>
        <w:pStyle w:val="Heading2"/>
      </w:pPr>
      <w:r>
        <w:t xml:space="preserve">7.6 Reproducibility</w:t>
      </w:r>
    </w:p>
    <w:p>
      <w:pPr>
        <w:pStyle w:val="FirstParagraph"/>
        <w:jc w:val="both"/>
      </w:pPr>
      <w:r>
        <w:t xml:space="preserve">All experiments run on CPU (2 threads). Every reported figure is written to a</w:t>
      </w:r>
      <w:r>
        <w:t xml:space="preserve"> </w:t>
      </w:r>
      <w:r>
        <w:t xml:space="preserve">JSON artifact under</w:t>
      </w:r>
      <w:r>
        <w:t xml:space="preserve"> </w:t>
      </w:r>
      <w:r>
        <w:rPr>
          <w:rStyle w:val="VerbatimChar"/>
        </w:rPr>
        <w:t xml:space="preserve">results/raw/</w:t>
      </w:r>
      <w:r>
        <w:t xml:space="preserve"> </w:t>
      </w:r>
      <w:r>
        <w:t xml:space="preserve">recording the configuration that produced it.</w:t>
      </w:r>
      <w:r>
        <w:t xml:space="preserve"> </w:t>
      </w:r>
      <w:r>
        <w:t xml:space="preserve">Random seeds are fixed and stated. Dataset caches are written atomically — to a</w:t>
      </w:r>
      <w:r>
        <w:t xml:space="preserve"> </w:t>
      </w:r>
      <w:r>
        <w:t xml:space="preserve">temporary file followed by an atomic rename — so that an interrupted run cannot</w:t>
      </w:r>
      <w:r>
        <w:t xml:space="preserve"> </w:t>
      </w:r>
      <w:r>
        <w:t xml:space="preserve">leave a partially written cache that a later run would silently treat as valid.</w:t>
      </w:r>
    </w:p>
    <w:bookmarkEnd w:id="47"/>
    <w:bookmarkEnd w:id="48"/>
    <w:bookmarkStart w:id="69" w:name="results"/>
    <w:p>
      <w:pPr>
        <w:pStyle w:val="Heading1"/>
      </w:pPr>
      <w:r>
        <w:t xml:space="preserve">8. Results</w:t>
      </w:r>
    </w:p>
    <w:p>
      <w:pPr>
        <w:pStyle w:val="FirstParagraph"/>
        <w:jc w:val="both"/>
      </w:pPr>
      <w:r>
        <w:t xml:space="preserve">We report results in the order of the audit: first what can be decided before</w:t>
      </w:r>
      <w:r>
        <w:t xml:space="preserve"> </w:t>
      </w:r>
      <w:r>
        <w:t xml:space="preserve">any model is trained (§8.1), then what a trained model reveals about coverage</w:t>
      </w:r>
      <w:r>
        <w:t xml:space="preserve"> </w:t>
      </w:r>
      <w:r>
        <w:t xml:space="preserve">(§8.2), whether the observed deficit is attributable to dependence (§8.3), how it</w:t>
      </w:r>
      <w:r>
        <w:t xml:space="preserve"> </w:t>
      </w:r>
      <w:r>
        <w:t xml:space="preserve">scales with the design effect (§8.4), and how robust these findings are to the</w:t>
      </w:r>
      <w:r>
        <w:t xml:space="preserve"> </w:t>
      </w:r>
      <w:r>
        <w:t xml:space="preserve">choice of backbone and checkpoint (§8.5).</w:t>
      </w:r>
    </w:p>
    <w:p>
      <w:pPr>
        <w:pStyle w:val="BodyText"/>
        <w:jc w:val="both"/>
      </w:pPr>
      <w:r>
        <w:t xml:space="preserve">Throughout, B1 denotes split conformal prediction calibrated as if records (or</w:t>
      </w:r>
      <w:r>
        <w:t xml:space="preserve"> </w:t>
      </w:r>
      <w:r>
        <w:t xml:space="preserve">beats) were exchangeable, and B12 denotes hierarchical conformal prediction (HCP)</w:t>
      </w:r>
      <w:r>
        <w:t xml:space="preserve"> </w:t>
      </w:r>
      <w:r>
        <w:t xml:space="preserve">[13] calibrated at the block level.</w:t>
      </w:r>
      <w:r>
        <w:t xml:space="preserve"> </w:t>
      </w:r>
      <m:oMath>
        <m:sSub>
          <m:e>
            <m:r>
              <m:t>K</m:t>
            </m:r>
          </m:e>
          <m:sub>
            <m:r>
              <m:t>1</m:t>
            </m:r>
          </m:sub>
        </m:sSub>
      </m:oMath>
      <w:r>
        <w:t xml:space="preserve"> </w:t>
      </w:r>
      <w:r>
        <w:t xml:space="preserve">is the number of calibration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smallest error rate at which HCP returns a finite</w:t>
      </w:r>
      <w:r>
        <w:t xml:space="preserve"> </w:t>
      </w:r>
      <w:r>
        <w:t xml:space="preserve">threshold (Proposition 1).</w:t>
      </w:r>
    </w:p>
    <w:bookmarkStart w:id="55" w:name="X703171b6c9ef8344f5ae4ef526c91a89ce0ec43"/>
    <w:p>
      <w:pPr>
        <w:pStyle w:val="Heading2"/>
      </w:pPr>
      <w:r>
        <w:t xml:space="preserve">8.1 Feasibility is decided by the partition, not by the model</w:t>
      </w:r>
    </w:p>
    <w:p>
      <w:pPr>
        <w:pStyle w:val="FirstParagraph"/>
        <w:jc w:val="both"/>
      </w:pPr>
      <w:r>
        <w:rPr>
          <w:b/>
          <w:bCs/>
        </w:rPr>
        <w:t xml:space="preserve">Granularity.</w:t>
      </w:r>
      <w:r>
        <w:t xml:space="preserve"> </w:t>
      </w:r>
      <w:r>
        <w:t xml:space="preserve">Table V applies Proposition 1 to the PTB-XL calibration fold</w:t>
      </w:r>
      <w:r>
        <w:t xml:space="preserve"> </w:t>
      </w:r>
      <w:r>
        <w:t xml:space="preserve">(fold 9, 2,183 records) under each candidate grouping. Blocking by patient is</w:t>
      </w:r>
      <w:r>
        <w:t xml:space="preserve"> </w:t>
      </w:r>
      <w:r>
        <w:t xml:space="preserve">feasible at every conventional</w:t>
      </w:r>
      <w:r>
        <w:t xml:space="preserve"> </w:t>
      </w:r>
      <m:oMath>
        <m:r>
          <m:t>α</m:t>
        </m:r>
      </m:oMath>
      <w:r>
        <w:t xml:space="preserve">. Every coarser source restricts the</w:t>
      </w:r>
      <w:r>
        <w:t xml:space="preserve"> </w:t>
      </w:r>
      <w:r>
        <w:t xml:space="preserve">admissible range:</w:t>
      </w:r>
      <w:r>
        <w:t xml:space="preserve"> </w:t>
      </w:r>
      <w:r>
        <w:rPr>
          <w:rStyle w:val="VerbatimChar"/>
        </w:rPr>
        <w:t xml:space="preserve">nurse</w:t>
      </w:r>
      <w:r>
        <w:t xml:space="preserve"> </w:t>
      </w:r>
      <w:r>
        <w:t xml:space="preserve">and</w:t>
      </w:r>
      <w:r>
        <w:t xml:space="preserve"> </w:t>
      </w:r>
      <w:r>
        <w:rPr>
          <w:rStyle w:val="VerbatimChar"/>
        </w:rPr>
        <w:t xml:space="preserve">device</w:t>
      </w:r>
      <w:r>
        <w:t xml:space="preserve"> </w:t>
      </w:r>
      <w:r>
        <w:t xml:space="preserve">exclude</w:t>
      </w:r>
      <w:r>
        <w:t xml:space="preserve"> </w:t>
      </w:r>
      <m:oMath>
        <m:r>
          <m:t>α</m:t>
        </m:r>
        <m:r>
          <m:rPr>
            <m:sty m:val="p"/>
          </m:rPr>
          <m:t>=</m:t>
        </m:r>
        <m:r>
          <m:t>0.05</m:t>
        </m:r>
      </m:oMath>
      <w:r>
        <w:t xml:space="preserve">, and</w:t>
      </w:r>
      <w:r>
        <w:t xml:space="preserve"> </w:t>
      </w:r>
      <w:r>
        <w:rPr>
          <w:rStyle w:val="VerbatimChar"/>
        </w:rPr>
        <w:t xml:space="preserve">strat_fold</w:t>
      </w:r>
      <w:r>
        <w:t xml:space="preserve"> </w:t>
      </w:r>
      <w:r>
        <w:t xml:space="preserve">admits only</w:t>
      </w:r>
      <w:r>
        <w:t xml:space="preserve"> </w:t>
      </w:r>
      <m:oMath>
        <m:r>
          <m:t>α</m:t>
        </m:r>
        <m:r>
          <m:rPr>
            <m:sty m:val="p"/>
          </m:rPr>
          <m:t>=</m:t>
        </m:r>
        <m:r>
          <m:t>0.20</m:t>
        </m:r>
      </m:oMath>
      <w:r>
        <w:t xml:space="preserve">.</w:t>
      </w:r>
    </w:p>
    <w:p>
      <w:pPr>
        <w:pStyle w:val="BodyText"/>
        <w:keepNext/>
        <w:spacing w:before="160"/>
        <w:jc w:val="center"/>
      </w:pPr>
      <w:r/>
      <w:r>
        <w:rPr>
          <w:sz w:val="18"/>
        </w:rPr>
        <w:t>TABLE V</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pPr>
            <w:r>
              <w:rPr>
                <w:b/>
                <w:sz w:val="17"/>
              </w:rPr>
              <w:t xml:space="preserve">Grouping</w:t>
            </w:r>
          </w:p>
        </w:tc>
        <w:tc>
          <w:tcPr/>
          <w:p>
            <w:pPr>
              <w:pStyle w:val="Compact"/>
              <w:jc w:val="right"/>
            </w:pPr>
            <w:r>
              <w:rPr>
                <w:b/>
                <w:sz w:val="17"/>
              </w:rPr>
              <w:t xml:space="preserve">Blocks (all folds)</w:t>
            </w:r>
          </w:p>
        </w:tc>
        <w:tc>
          <w:tcPr/>
          <w:p>
            <w:pPr>
              <w:pStyle w:val="Compact"/>
              <w:jc w:val="right"/>
            </w:pPr>
            <m:oMath>
              <m:sSub>
                <m:e>
                  <m:r>
                    <m:t>K</m:t>
                  </m:r>
                </m:e>
                <m:sub>
                  <m:r>
                    <m:t>1</m:t>
                  </m:r>
                </m:sub>
              </m:sSub>
            </m:oMath>
          </w:p>
        </w:tc>
        <w:tc>
          <w:tcPr/>
          <w:p>
            <w:pPr>
              <w:pStyle w:val="Compact"/>
              <w:jc w:val="right"/>
            </w:pPr>
            <w:r>
              <w:rPr>
                <w:b/>
                <w:sz w:val="17"/>
              </w:rPr>
              <w:t xml:space="preserve">Mean block size</w:t>
            </w:r>
          </w:p>
        </w:tc>
        <w:tc>
          <w:tcPr/>
          <w:p>
            <w:pPr>
              <w:pStyle w:val="Compact"/>
              <w:jc w:val="right"/>
            </w:pPr>
            <m:oMath>
              <m:sSub>
                <m:e>
                  <m:r>
                    <m:t>α</m:t>
                  </m:r>
                </m:e>
                <m:sub>
                  <m:r>
                    <m:rPr>
                      <m:sty m:val="p"/>
                    </m:rPr>
                    <m:t>min</m:t>
                  </m:r>
                </m:sub>
              </m:sSub>
            </m:oMath>
          </w:p>
        </w:tc>
        <w:tc>
          <w:tcPr/>
          <w:p>
            <w:pPr>
              <w:pStyle w:val="Compact"/>
              <w:jc w:val="center"/>
            </w:pPr>
            <w:r>
              <w:rPr>
                <w:b/>
                <w:sz w:val="17"/>
              </w:rPr>
              <w:t xml:space="preserve">0.01</w:t>
            </w:r>
          </w:p>
        </w:tc>
        <w:tc>
          <w:tcPr/>
          <w:p>
            <w:pPr>
              <w:pStyle w:val="Compact"/>
              <w:jc w:val="center"/>
            </w:pPr>
            <w:r>
              <w:rPr>
                <w:b/>
                <w:sz w:val="17"/>
              </w:rPr>
              <w:t xml:space="preserve">0.05</w:t>
            </w:r>
          </w:p>
        </w:tc>
        <w:tc>
          <w:tcPr/>
          <w:p>
            <w:pPr>
              <w:pStyle w:val="Compact"/>
              <w:jc w:val="center"/>
            </w:pPr>
            <w:r>
              <w:rPr>
                <w:b/>
                <w:sz w:val="17"/>
              </w:rPr>
              <w:t xml:space="preserve">0.10</w:t>
            </w:r>
          </w:p>
        </w:tc>
        <w:tc>
          <w:tcPr/>
          <w:p>
            <w:pPr>
              <w:pStyle w:val="Compact"/>
              <w:jc w:val="center"/>
            </w:pPr>
            <w:r>
              <w:rPr>
                <w:b/>
                <w:sz w:val="17"/>
              </w:rPr>
              <w:t xml:space="preserve">0.20</w:t>
            </w:r>
          </w:p>
        </w:tc>
      </w:tr>
      <w:tr>
        <w:tc>
          <w:tcPr/>
          <w:p>
            <w:pPr>
              <w:pStyle w:val="Compact"/>
            </w:pPr>
            <w:r>
              <w:rPr>
                <w:sz w:val="17"/>
              </w:rPr>
              <w:t xml:space="preserve">patient_id</w:t>
            </w:r>
          </w:p>
        </w:tc>
        <w:tc>
          <w:tcPr/>
          <w:p>
            <w:pPr>
              <w:pStyle w:val="Compact"/>
              <w:jc w:val="right"/>
            </w:pPr>
            <w:r>
              <w:rPr>
                <w:sz w:val="17"/>
              </w:rPr>
              <w:t xml:space="preserve">18,869</w:t>
            </w:r>
          </w:p>
        </w:tc>
        <w:tc>
          <w:tcPr/>
          <w:p>
            <w:pPr>
              <w:pStyle w:val="Compact"/>
              <w:jc w:val="right"/>
            </w:pPr>
            <w:r>
              <w:rPr>
                <w:sz w:val="17"/>
              </w:rPr>
              <w:t xml:space="preserve">1,942</w:t>
            </w:r>
          </w:p>
        </w:tc>
        <w:tc>
          <w:tcPr/>
          <w:p>
            <w:pPr>
              <w:pStyle w:val="Compact"/>
              <w:jc w:val="right"/>
            </w:pPr>
            <w:r>
              <w:rPr>
                <w:sz w:val="17"/>
              </w:rPr>
              <w:t xml:space="preserve">1.12</w:t>
            </w:r>
          </w:p>
        </w:tc>
        <w:tc>
          <w:tcPr/>
          <w:p>
            <w:pPr>
              <w:pStyle w:val="Compact"/>
              <w:jc w:val="right"/>
            </w:pPr>
            <w:r>
              <w:rPr>
                <w:sz w:val="17"/>
              </w:rPr>
              <w:t xml:space="preserve">0.00051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site</w:t>
            </w:r>
          </w:p>
        </w:tc>
        <w:tc>
          <w:tcPr/>
          <w:p>
            <w:pPr>
              <w:pStyle w:val="Compact"/>
              <w:jc w:val="right"/>
            </w:pPr>
            <w:r>
              <w:rPr>
                <w:sz w:val="17"/>
              </w:rPr>
              <w:t xml:space="preserve">51</w:t>
            </w:r>
          </w:p>
        </w:tc>
        <w:tc>
          <w:tcPr/>
          <w:p>
            <w:pPr>
              <w:pStyle w:val="Compact"/>
              <w:jc w:val="right"/>
            </w:pPr>
            <w:r>
              <w:rPr>
                <w:sz w:val="17"/>
              </w:rPr>
              <w:t xml:space="preserve">40</w:t>
            </w:r>
          </w:p>
        </w:tc>
        <w:tc>
          <w:tcPr/>
          <w:p>
            <w:pPr>
              <w:pStyle w:val="Compact"/>
              <w:jc w:val="right"/>
            </w:pPr>
            <w:r>
              <w:rPr>
                <w:sz w:val="17"/>
              </w:rPr>
              <w:t xml:space="preserve">54.55</w:t>
            </w:r>
          </w:p>
        </w:tc>
        <w:tc>
          <w:tcPr/>
          <w:p>
            <w:pPr>
              <w:pStyle w:val="Compact"/>
              <w:jc w:val="right"/>
            </w:pPr>
            <w:r>
              <w:rPr>
                <w:sz w:val="17"/>
              </w:rPr>
              <w:t xml:space="preserve">0.02439</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nurse</w:t>
            </w:r>
          </w:p>
        </w:tc>
        <w:tc>
          <w:tcPr/>
          <w:p>
            <w:pPr>
              <w:pStyle w:val="Compact"/>
              <w:jc w:val="right"/>
            </w:pPr>
            <w:r>
              <w:rPr>
                <w:sz w:val="17"/>
              </w:rPr>
              <w:t xml:space="preserve">12</w:t>
            </w:r>
          </w:p>
        </w:tc>
        <w:tc>
          <w:tcPr/>
          <w:p>
            <w:pPr>
              <w:pStyle w:val="Compact"/>
              <w:jc w:val="right"/>
            </w:pPr>
            <w:r>
              <w:rPr>
                <w:sz w:val="17"/>
              </w:rPr>
              <w:t xml:space="preserve">12</w:t>
            </w:r>
          </w:p>
        </w:tc>
        <w:tc>
          <w:tcPr/>
          <w:p>
            <w:pPr>
              <w:pStyle w:val="Compact"/>
              <w:jc w:val="right"/>
            </w:pPr>
            <w:r>
              <w:rPr>
                <w:sz w:val="17"/>
              </w:rPr>
              <w:t xml:space="preserve">163.42</w:t>
            </w:r>
          </w:p>
        </w:tc>
        <w:tc>
          <w:tcPr/>
          <w:p>
            <w:pPr>
              <w:pStyle w:val="Compact"/>
              <w:jc w:val="right"/>
            </w:pPr>
            <w:r>
              <w:rPr>
                <w:sz w:val="17"/>
              </w:rPr>
              <w:t xml:space="preserve">0.07692</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device</w:t>
            </w:r>
          </w:p>
        </w:tc>
        <w:tc>
          <w:tcPr/>
          <w:p>
            <w:pPr>
              <w:pStyle w:val="Compact"/>
              <w:jc w:val="right"/>
            </w:pPr>
            <w:r>
              <w:rPr>
                <w:sz w:val="17"/>
              </w:rPr>
              <w:t xml:space="preserve">11</w:t>
            </w:r>
          </w:p>
        </w:tc>
        <w:tc>
          <w:tcPr/>
          <w:p>
            <w:pPr>
              <w:pStyle w:val="Compact"/>
              <w:jc w:val="right"/>
            </w:pPr>
            <w:r>
              <w:rPr>
                <w:sz w:val="17"/>
              </w:rPr>
              <w:t xml:space="preserve">11</w:t>
            </w:r>
          </w:p>
        </w:tc>
        <w:tc>
          <w:tcPr/>
          <w:p>
            <w:pPr>
              <w:pStyle w:val="Compact"/>
              <w:jc w:val="right"/>
            </w:pPr>
            <w:r>
              <w:rPr>
                <w:sz w:val="17"/>
              </w:rPr>
              <w:t xml:space="preserve">198.46</w:t>
            </w:r>
          </w:p>
        </w:tc>
        <w:tc>
          <w:tcPr/>
          <w:p>
            <w:pPr>
              <w:pStyle w:val="Compact"/>
              <w:jc w:val="right"/>
            </w:pPr>
            <w:r>
              <w:rPr>
                <w:sz w:val="17"/>
              </w:rPr>
              <w:t xml:space="preserve">0.08333</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Fig. 2 places every grouping on the feasibility frontier, together with the joins</w:t>
      </w:r>
      <w:r>
        <w:t xml:space="preserve"> </w:t>
      </w:r>
      <w:r>
        <w:t xml:space="preserve">discussed below and the MIT-BIH record partition.</w:t>
      </w:r>
    </w:p>
    <w:p>
      <w:pPr>
        <w:pStyle w:val="CaptionedFigure"/>
        <w:jc w:val="both"/>
      </w:pPr>
      <w:r>
        <w:drawing>
          <wp:inline>
            <wp:extent cx="3108960" cy="2176272"/>
            <wp:effectExtent b="0" l="0" r="0" t="0"/>
            <wp:docPr descr="Fig. 2.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50" name="Picture"/>
            <a:graphic>
              <a:graphicData uri="http://schemas.openxmlformats.org/drawingml/2006/picture">
                <pic:pic>
                  <pic:nvPicPr>
                    <pic:cNvPr descr="figures/fig2_feasibility_frontier.png" id="51" name="Picture"/>
                    <pic:cNvPicPr>
                      <a:picLocks noChangeArrowheads="1" noChangeAspect="1"/>
                    </pic:cNvPicPr>
                  </pic:nvPicPr>
                  <pic:blipFill>
                    <a:blip r:embed="rId49"/>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2.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t xml:space="preserve">The feasibility of</w:t>
      </w:r>
      <w:r>
        <w:t xml:space="preserve"> </w:t>
      </w:r>
      <w:r>
        <w:rPr>
          <w:rStyle w:val="VerbatimChar"/>
        </w:rPr>
        <w:t xml:space="preserve">site</w:t>
      </w:r>
      <w:r>
        <w:t xml:space="preserve"> </w:t>
      </w:r>
      <w:r>
        <w:t xml:space="preserve">at</w:t>
      </w:r>
      <w:r>
        <w:t xml:space="preserve"> </w:t>
      </w:r>
      <m:oMath>
        <m:r>
          <m:t>α</m:t>
        </m:r>
        <m:r>
          <m:rPr>
            <m:sty m:val="p"/>
          </m:rPr>
          <m:t>=</m:t>
        </m:r>
        <m:r>
          <m:t>0.05</m:t>
        </m:r>
      </m:oMath>
      <w:r>
        <w:t xml:space="preserve"> </w:t>
      </w:r>
      <w:r>
        <w:t xml:space="preserve">requires qualification. Of the 40 sites</w:t>
      </w:r>
      <w:r>
        <w:t xml:space="preserve"> </w:t>
      </w:r>
      <w:r>
        <w:t xml:space="preserve">in fold 9, 37 occur only among the 223 records whose</w:t>
      </w:r>
      <w:r>
        <w:t xml:space="preserve"> </w:t>
      </w:r>
      <w:r>
        <w:rPr>
          <w:rStyle w:val="VerbatimChar"/>
        </w:rPr>
        <w:t xml:space="preserve">nurse</w:t>
      </w:r>
      <w:r>
        <w:t xml:space="preserve"> </w:t>
      </w:r>
      <w:r>
        <w:t xml:space="preserve">field is empty;</w:t>
      </w:r>
      <w:r>
        <w:t xml:space="preserve"> </w:t>
      </w:r>
      <w:r>
        <w:t xml:space="preserve">the 1,960 records with complete metadata come from 3 sites. The admissibility of</w:t>
      </w:r>
      <w:r>
        <w:t xml:space="preserve"> </w:t>
      </w:r>
      <w:r>
        <w:t xml:space="preserve">site-level blocking therefore rests on a metadata-incomplete minority that</w:t>
      </w:r>
      <w:r>
        <w:t xml:space="preserve"> </w:t>
      </w:r>
      <w:r>
        <w:t xml:space="preserve">appears to reflect a different collection regime.</w:t>
      </w:r>
    </w:p>
    <w:p>
      <w:pPr>
        <w:pStyle w:val="BodyText"/>
        <w:jc w:val="both"/>
      </w:pPr>
      <w:r>
        <w:rPr>
          <w:b/>
          <w:bCs/>
        </w:rPr>
        <w:t xml:space="preserve">Crossed sources.</w:t>
      </w:r>
      <w:r>
        <w:t xml:space="preserve"> </w:t>
      </w:r>
      <w:r>
        <w:t xml:space="preserve">Dependence sources in PTB-XL are crossed rather than nested:</w:t>
      </w:r>
      <w:r>
        <w:t xml:space="preserve"> </w:t>
      </w:r>
      <w:r>
        <w:t xml:space="preserve">46 patients span more than one site, 247 more than one nurse, and 174 more than one</w:t>
      </w:r>
      <w:r>
        <w:t xml:space="preserve"> </w:t>
      </w:r>
      <w:r>
        <w:t xml:space="preserve">device. Controlling several sources jointly therefore requires their</w:t>
      </w:r>
      <w:r>
        <w:t xml:space="preserve"> </w:t>
      </w:r>
      <w:r>
        <w:rPr>
          <w:i/>
          <w:iCs/>
        </w:rPr>
        <w:t xml:space="preserve">join</w:t>
      </w:r>
      <w:r>
        <w:t xml:space="preserve"> </w:t>
      </w:r>
      <w:r>
        <w:t xml:space="preserve">(connected components), which coarsens rapidly. On all 2,183 records, controlling</w:t>
      </w:r>
      <w:r>
        <w:t xml:space="preserve"> </w:t>
      </w:r>
      <w:r>
        <w:t xml:space="preserve">patient and device leaves</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controlling all four</w:t>
      </w:r>
      <w:r>
        <w:t xml:space="preserve"> </w:t>
      </w:r>
      <w:r>
        <w:t xml:space="preserve">sources leaves a single block (</w:t>
      </w:r>
      <m:oMath>
        <m:sSub>
          <m:e>
            <m:r>
              <m:t>α</m:t>
            </m:r>
          </m:e>
          <m:sub>
            <m:r>
              <m:rPr>
                <m:sty m:val="p"/>
              </m:rPr>
              <m:t>min</m:t>
            </m:r>
          </m:sub>
        </m:sSub>
        <m:r>
          <m:rPr>
            <m:sty m:val="p"/>
          </m:rPr>
          <m:t>=</m:t>
        </m:r>
        <m:r>
          <m:t>0.5</m:t>
        </m:r>
      </m:oMath>
      <w:r>
        <w:t xml:space="preserve">). Restricting to the 1,960</w:t>
      </w:r>
      <w:r>
        <w:t xml:space="preserve"> </w:t>
      </w:r>
      <w:r>
        <w:t xml:space="preserve">records with complete metadata and enumerating all 15 joins of the four declared</w:t>
      </w:r>
      <w:r>
        <w:t xml:space="preserve"> </w:t>
      </w:r>
      <w:r>
        <w:t xml:space="preserve">sources, 8 satisfy sufficiency (every source nested within the grouping), and all</w:t>
      </w:r>
      <w:r>
        <w:t xml:space="preserve"> </w:t>
      </w:r>
      <w:r>
        <w:t xml:space="preserve">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 dependence</w:t>
      </w:r>
      <w:r>
        <w:rPr>
          <w:i/>
          <w:iCs/>
        </w:rPr>
        <w:t xml:space="preserve"> </w:t>
      </w:r>
      <w:r>
        <w:rPr>
          <w:i/>
          <w:iCs/>
        </w:rPr>
        <w:t xml:space="preserve">sources, no admissible calibration grouping exists at any conventional</w:t>
      </w:r>
      <w:r>
        <w:rPr>
          <w:i/>
          <w:iCs/>
        </w:rPr>
        <w:t xml:space="preserve"> </w:t>
      </w:r>
      <m:oMath>
        <m:r>
          <m:t>α</m:t>
        </m:r>
      </m:oMath>
      <w:r>
        <w:rPr>
          <w:i/>
          <w:iCs/>
        </w:rPr>
        <w:t xml:space="preserve">.</w:t>
      </w:r>
      <w:r>
        <w:t xml:space="preserve"> </w:t>
      </w:r>
      <w:r>
        <w:t xml:space="preserve">The conclusion is conditional on that declaration, which cannot be verified from</w:t>
      </w:r>
      <w:r>
        <w:t xml:space="preserve"> </w:t>
      </w:r>
      <w:r>
        <w:t xml:space="preserve">data (§10.5); the collapse of joined partitions into a giant component is itself</w:t>
      </w:r>
      <w:r>
        <w:t xml:space="preserve"> </w:t>
      </w:r>
      <w:r>
        <w:t xml:space="preserve">known [41].</w:t>
      </w:r>
    </w:p>
    <w:p>
      <w:pPr>
        <w:pStyle w:val="BodyText"/>
        <w:jc w:val="both"/>
      </w:pPr>
      <w:r>
        <w:rPr>
          <w:b/>
          <w:bCs/>
        </w:rPr>
        <w:t xml:space="preserve">Labels.</w:t>
      </w:r>
      <w:r>
        <w:t xml:space="preserve"> </w:t>
      </w:r>
      <w:r>
        <w:t xml:space="preserve">The bound applies per label when coverage is required conditional on</w:t>
      </w:r>
      <w:r>
        <w:t xml:space="preserve"> </w:t>
      </w:r>
      <w:r>
        <w:t xml:space="preserve">a label (Proposition 3, a necessary condition). Table VI shows how the feasible</w:t>
      </w:r>
      <w:r>
        <w:t xml:space="preserve"> </w:t>
      </w:r>
      <w:r>
        <w:t xml:space="preserve">region shrinks as the PTB-XL hierarchy is refined. At the superclass level every</w:t>
      </w:r>
      <w:r>
        <w:t xml:space="preserve"> </w:t>
      </w:r>
      <w:r>
        <w:t xml:space="preserve">label is feasible. At the finest level, 24 of 44 SCP codes fail the necessary</w:t>
      </w:r>
      <w:r>
        <w:t xml:space="preserve"> </w:t>
      </w:r>
      <w:r>
        <w:t xml:space="preserve">condition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has a single calibration block. Under a</w:t>
      </w:r>
      <w:r>
        <w:t xml:space="preserve"> </w:t>
      </w:r>
      <w:r>
        <w:t xml:space="preserve">Bonferroni requirement across labels, 43 of 44 codes are infeasible at a</w:t>
      </w:r>
      <w:r>
        <w:t xml:space="preserve"> </w:t>
      </w:r>
      <w:r>
        <w:t xml:space="preserve">family-wise</w:t>
      </w:r>
      <w:r>
        <w:t xml:space="preserve"> </w:t>
      </w:r>
      <m:oMath>
        <m:r>
          <m:t>α</m:t>
        </m:r>
        <m:r>
          <m:rPr>
            <m:sty m:val="p"/>
          </m:rPr>
          <m:t>=</m:t>
        </m:r>
        <m:r>
          <m:t>0.05</m:t>
        </m:r>
      </m:oMath>
      <w:r>
        <w:t xml:space="preserve">. Monotonicity along the hierarchy held in all 23</w:t>
      </w:r>
      <w:r>
        <w:t xml:space="preserve"> </w:t>
      </w:r>
      <w:r>
        <w:t xml:space="preserve">parent–child pairs. The same boundary appears in MIT-BIH, where class Q occupies</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w:t>
      </w:r>
    </w:p>
    <w:p>
      <w:pPr>
        <w:pStyle w:val="BodyText"/>
        <w:keepNext/>
        <w:spacing w:before="160"/>
        <w:jc w:val="center"/>
      </w:pPr>
      <w:r/>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
        <w:rPr>
          <w:sz w:val="18"/>
        </w:rPr>
        <w:t>TABLE VI</w:t>
      </w:r>
      <w:r>
        <w:br/>
      </w:r>
      <w:r>
        <w:rPr>
          <w:sz w:val="16"/>
        </w:rPr>
        <w:t>LABELS FAILING THE NECESSARY CONDITION ,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pPr>
            <w:r>
              <w:rPr>
                <w:b/>
                <w:sz w:val="17"/>
              </w:rPr>
              <w:t xml:space="preserve">Level</w:t>
            </w:r>
          </w:p>
        </w:tc>
        <w:tc>
          <w:tcPr/>
          <w:p>
            <w:pPr>
              <w:pStyle w:val="Compact"/>
              <w:jc w:val="right"/>
            </w:pPr>
            <w:r>
              <w:rPr>
                <w:b/>
                <w:sz w:val="17"/>
              </w:rPr>
              <w:t xml:space="preserve">Labels</w:t>
            </w:r>
            <w:r>
              <w:rPr>
                <w:b/>
                <w:sz w:val="17"/>
              </w:rPr>
              <w:t xml:space="preserve"> </w:t>
            </w:r>
            <m:oMath>
              <m:r>
                <m:t>m</m:t>
              </m:r>
            </m:oMath>
          </w:p>
        </w:tc>
        <w:tc>
          <w:tcPr/>
          <w:p>
            <w:pPr>
              <w:pStyle w:val="Compac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jc w:val="right"/>
            </w:pPr>
            <w:r>
              <w:rPr>
                <w:b/>
                <w:sz w:val="17"/>
              </w:rPr>
              <w:t xml:space="preserve">Fail at 0.01</w:t>
            </w:r>
          </w:p>
        </w:tc>
        <w:tc>
          <w:tcPr/>
          <w:p>
            <w:pPr>
              <w:pStyle w:val="Compact"/>
              <w:jc w:val="right"/>
            </w:pPr>
            <w:r>
              <w:rPr>
                <w:b/>
                <w:sz w:val="17"/>
              </w:rPr>
              <w:t xml:space="preserve">Fail at 0.05</w:t>
            </w:r>
          </w:p>
        </w:tc>
        <w:tc>
          <w:tcPr/>
          <w:p>
            <w:pPr>
              <w:pStyle w:val="Compact"/>
              <w:jc w:val="right"/>
            </w:pPr>
            <w:r>
              <w:rPr>
                <w:b/>
                <w:sz w:val="17"/>
              </w:rPr>
              <w:t xml:space="preserve">Fail at 0.10</w:t>
            </w:r>
          </w:p>
        </w:tc>
        <w:tc>
          <w:tcPr/>
          <w:p>
            <w:pPr>
              <w:pStyle w:val="Compact"/>
              <w:jc w:val="right"/>
            </w:pPr>
            <w:r>
              <w:rPr>
                <w:b/>
                <w:sz w:val="17"/>
              </w:rPr>
              <w:t xml:space="preserve">Fail at 0.05 /</w:t>
            </w:r>
            <w:r>
              <w:rPr>
                <w:b/>
                <w:sz w:val="17"/>
              </w:rPr>
              <w:t xml:space="preserve"> </w:t>
            </w:r>
            <m:oMath>
              <m:r>
                <m:t>m</m:t>
              </m:r>
            </m:oMath>
          </w:p>
        </w:tc>
      </w:tr>
      <w:tr>
        <w:tc>
          <w:tcPr/>
          <w:p>
            <w:pPr>
              <w:pStyle w:val="Compact"/>
            </w:pPr>
            <w:r>
              <w:rPr>
                <w:sz w:val="17"/>
              </w:rPr>
              <w:t xml:space="preserve">Superclass</w:t>
            </w:r>
          </w:p>
        </w:tc>
        <w:tc>
          <w:tcPr/>
          <w:p>
            <w:pPr>
              <w:pStyle w:val="Compact"/>
              <w:jc w:val="right"/>
            </w:pPr>
            <w:r>
              <w:rPr>
                <w:sz w:val="17"/>
              </w:rPr>
              <w:t xml:space="preserve">5</w:t>
            </w:r>
          </w:p>
        </w:tc>
        <w:tc>
          <w:tcPr/>
          <w:p>
            <w:pPr>
              <w:pStyle w:val="Compact"/>
              <w:jc w:val="right"/>
            </w:pPr>
            <w:r>
              <w:rPr>
                <w:sz w:val="17"/>
              </w:rPr>
              <w:t xml:space="preserve">242–905</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r>
      <w:tr>
        <w:tc>
          <w:tcPr/>
          <w:p>
            <w:pPr>
              <w:pStyle w:val="Compact"/>
            </w:pPr>
            <w:r>
              <w:rPr>
                <w:sz w:val="17"/>
              </w:rPr>
              <w:t xml:space="preserve">Subclass</w:t>
            </w:r>
          </w:p>
        </w:tc>
        <w:tc>
          <w:tcPr/>
          <w:p>
            <w:pPr>
              <w:pStyle w:val="Compact"/>
              <w:jc w:val="right"/>
            </w:pPr>
            <w:r>
              <w:rPr>
                <w:sz w:val="17"/>
              </w:rPr>
              <w:t xml:space="preserve">23</w:t>
            </w:r>
          </w:p>
        </w:tc>
        <w:tc>
          <w:tcPr/>
          <w:p>
            <w:pPr>
              <w:pStyle w:val="Compact"/>
              <w:jc w:val="right"/>
            </w:pPr>
            <w:r>
              <w:rPr>
                <w:sz w:val="17"/>
              </w:rPr>
              <w:t xml:space="preserve">2–905</w:t>
            </w:r>
          </w:p>
        </w:tc>
        <w:tc>
          <w:tcPr/>
          <w:p>
            <w:pPr>
              <w:pStyle w:val="Compact"/>
              <w:jc w:val="right"/>
            </w:pPr>
            <w:r>
              <w:rPr>
                <w:sz w:val="17"/>
              </w:rPr>
              <w:t xml:space="preserve">15</w:t>
            </w:r>
          </w:p>
        </w:tc>
        <w:tc>
          <w:tcPr/>
          <w:p>
            <w:pPr>
              <w:pStyle w:val="Compact"/>
              <w:jc w:val="right"/>
            </w:pPr>
            <w:r>
              <w:rPr>
                <w:sz w:val="17"/>
              </w:rPr>
              <w:t xml:space="preserve">6</w:t>
            </w:r>
          </w:p>
        </w:tc>
        <w:tc>
          <w:tcPr/>
          <w:p>
            <w:pPr>
              <w:pStyle w:val="Compact"/>
              <w:jc w:val="right"/>
            </w:pPr>
            <w:r>
              <w:rPr>
                <w:sz w:val="17"/>
              </w:rPr>
              <w:t xml:space="preserve">4</w:t>
            </w:r>
          </w:p>
        </w:tc>
        <w:tc>
          <w:tcPr/>
          <w:p>
            <w:pPr>
              <w:pStyle w:val="Compac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CaptionedFigure"/>
        <w:jc w:val="both"/>
      </w:pPr>
      <w:r>
        <w:drawing>
          <wp:inline>
            <wp:extent cx="5334000" cy="1604287"/>
            <wp:effectExtent b="0" l="0" r="0" t="0"/>
            <wp:docPr descr="Fig. 3.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53" name="Picture"/>
            <a:graphic>
              <a:graphicData uri="http://schemas.openxmlformats.org/drawingml/2006/picture">
                <pic:pic>
                  <pic:nvPicPr>
                    <pic:cNvPr descr="figures/fig3_label_feasibility.png" id="54" name="Picture"/>
                    <pic:cNvPicPr>
                      <a:picLocks noChangeArrowheads="1" noChangeAspect="1"/>
                    </pic:cNvPicPr>
                  </pic:nvPicPr>
                  <pic:blipFill>
                    <a:blip r:embed="rId52"/>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3.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p>
      <w:pPr>
        <w:pStyle w:val="BodyText"/>
        <w:jc w:val="both"/>
      </w:pPr>
      <w:r>
        <w:t xml:space="preserve">None of §8.1 involves a trained model. Given the declared dependence sources,</w:t>
      </w:r>
      <w:r>
        <w:t xml:space="preserve"> </w:t>
      </w:r>
      <w:r>
        <w:t xml:space="preserve">these verdicts are exact, carry no sampling error, and can be computed before a</w:t>
      </w:r>
      <w:r>
        <w:t xml:space="preserve"> </w:t>
      </w:r>
      <w:r>
        <w:t xml:space="preserve">single patient is enrolled.</w:t>
      </w:r>
    </w:p>
    <w:bookmarkEnd w:id="55"/>
    <w:bookmarkStart w:id="59" w:name="coverage-under-block-dependence"/>
    <w:p>
      <w:pPr>
        <w:pStyle w:val="Heading2"/>
      </w:pPr>
      <w:r>
        <w:t xml:space="preserve">8.2 Coverage under block dependence</w:t>
      </w:r>
    </w:p>
    <w:p>
      <w:pPr>
        <w:pStyle w:val="FirstParagraph"/>
        <w:jc w:val="both"/>
      </w:pPr>
      <w:r>
        <w:t xml:space="preserve">Table VII and Fig. 4 report coverage and set size on MIT-BIH (beats within records, 22</w:t>
      </w:r>
      <w:r>
        <w:t xml:space="preserve"> </w:t>
      </w:r>
      <w:r>
        <w:t xml:space="preserve">evaluation records split 11/11, 200 record-level splits) and PTB-XL (records</w:t>
      </w:r>
      <w:r>
        <w:t xml:space="preserve"> </w:t>
      </w:r>
      <w:r>
        <w:t xml:space="preserve">within patients, fold 9 split at patient level, 200 splits), using the primary</w:t>
      </w:r>
      <w:r>
        <w:t xml:space="preserve"> </w:t>
      </w:r>
      <w:r>
        <w:t xml:space="preserve">backbones of the feasibility study.</w:t>
      </w:r>
    </w:p>
    <w:p>
      <w:pPr>
        <w:pStyle w:val="BodyText"/>
        <w:keepNext/>
        <w:spacing w:before="160"/>
        <w:jc w:val="center"/>
      </w:pPr>
      <w:r/>
      <w:r>
        <w:rPr>
          <w:sz w:val="18"/>
        </w:rPr>
        <w:t>TABLE VII</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pPr>
            <w:r>
              <w:rPr>
                <w:b/>
                <w:sz w:val="17"/>
              </w:rPr>
              <w:t xml:space="preserve">Dataset</w:t>
            </w:r>
          </w:p>
        </w:tc>
        <w:tc>
          <w:tcPr/>
          <w:p>
            <w:pPr>
              <w:pStyle w:val="Compact"/>
              <w:jc w:val="right"/>
            </w:pPr>
            <m:oMath>
              <m:r>
                <m:t>α</m:t>
              </m:r>
            </m:oMath>
          </w:p>
        </w:tc>
        <w:tc>
          <w:tcPr/>
          <w:p>
            <w:pPr>
              <w:pStyle w:val="Compact"/>
            </w:pPr>
            <w:r>
              <w:rPr>
                <w:b/>
                <w:sz w:val="17"/>
              </w:rPr>
              <w:t xml:space="preserve">B1 coverage</w:t>
            </w:r>
          </w:p>
        </w:tc>
        <w:tc>
          <w:tcPr/>
          <w:p>
            <w:pPr>
              <w:pStyle w:val="Compact"/>
              <w:jc w:val="right"/>
            </w:pPr>
            <w:r>
              <w:rPr>
                <w:b/>
                <w:sz w:val="17"/>
              </w:rPr>
              <w:t xml:space="preserve">B12 coverage</w:t>
            </w:r>
          </w:p>
        </w:tc>
        <w:tc>
          <w:tcPr/>
          <w:p>
            <w:pPr>
              <w:pStyle w:val="Compact"/>
              <w:jc w:val="right"/>
            </w:pPr>
            <m:oMath>
              <m:r>
                <m:rPr>
                  <m:sty m:val="p"/>
                </m:rPr>
                <m:t>|</m:t>
              </m:r>
              <m:r>
                <m:t>C</m:t>
              </m:r>
              <m:r>
                <m:rPr>
                  <m:sty m:val="p"/>
                </m:rPr>
                <m:t>|</m:t>
              </m:r>
            </m:oMath>
            <w:r>
              <w:rPr>
                <w:b/>
                <w:sz w:val="17"/>
              </w:rPr>
              <w:t xml:space="preserve"> </w:t>
            </w:r>
            <w:r>
              <w:rPr>
                <w:b/>
                <w:sz w:val="17"/>
              </w:rPr>
              <w:t xml:space="preserve">B1</w:t>
            </w:r>
          </w:p>
        </w:tc>
        <w:tc>
          <w:tcPr/>
          <w:p>
            <w:pPr>
              <w:pStyle w:val="Compact"/>
              <w:jc w:val="right"/>
            </w:pPr>
            <m:oMath>
              <m:r>
                <m:rPr>
                  <m:sty m:val="p"/>
                </m:rPr>
                <m:t>|</m:t>
              </m:r>
              <m:r>
                <m:t>C</m:t>
              </m:r>
              <m:r>
                <m:rPr>
                  <m:sty m:val="p"/>
                </m:rPr>
                <m:t>|</m:t>
              </m:r>
            </m:oMath>
            <w:r>
              <w:rPr>
                <w:b/>
                <w:sz w:val="17"/>
              </w:rPr>
              <w:t xml:space="preserve"> </w:t>
            </w:r>
            <w:r>
              <w:rPr>
                <w:b/>
                <w:sz w:val="17"/>
              </w:rPr>
              <w:t xml:space="preserve">B12</w:t>
            </w:r>
          </w:p>
        </w:tc>
      </w:tr>
      <w:t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Three observations follow. First, on MIT-BIH the mean coverage of B1 lies below</w:t>
      </w:r>
      <w:r>
        <w:t xml:space="preserve"> </w:t>
      </w:r>
      <m:oMath>
        <m:r>
          <m:t>1</m:t>
        </m:r>
        <m:r>
          <m:rPr>
            <m:sty m:val="p"/>
          </m:rPr>
          <m:t>−</m:t>
        </m:r>
        <m:r>
          <m:t>α</m:t>
        </m:r>
      </m:oMath>
      <w:r>
        <w:t xml:space="preserve"> </w:t>
      </w:r>
      <w:r>
        <w:t xml:space="preserve">at every level, by 1.0–2.4 percentage points, while on PTB-XL it lies</w:t>
      </w:r>
      <w:r>
        <w:t xml:space="preserve"> </w:t>
      </w:r>
      <w:r>
        <w:t xml:space="preserve">at or above nominal. Second, the split-to-split range on MIT-BIH is wide enough to</w:t>
      </w:r>
      <w:r>
        <w:t xml:space="preserve"> </w:t>
      </w:r>
      <w:r>
        <w:t xml:space="preserve">contain</w:t>
      </w:r>
      <w:r>
        <w:t xml:space="preserve"> </w:t>
      </w:r>
      <m:oMath>
        <m:r>
          <m:t>1</m:t>
        </m:r>
        <m:r>
          <m:rPr>
            <m:sty m:val="p"/>
          </m:rPr>
          <m:t>−</m:t>
        </m:r>
        <m:r>
          <m:t>α</m:t>
        </m:r>
      </m:oMath>
      <w:r>
        <w:t xml:space="preserve"> </w:t>
      </w:r>
      <w:r>
        <w:t xml:space="preserve">at every level; with 11 test records, no single split can</w:t>
      </w:r>
      <w:r>
        <w:t xml:space="preserve"> </w:t>
      </w:r>
      <w:r>
        <w:t xml:space="preserve">reveal a deficit of this size, and the comparison of means alone is not a test.</w:t>
      </w:r>
      <w:r>
        <w:t xml:space="preserve"> </w:t>
      </w:r>
      <w:r>
        <w:t xml:space="preserve">Third, B12 coverage must be read together with set size: at</w:t>
      </w:r>
      <w:r>
        <w:t xml:space="preserve"> </w:t>
      </w:r>
      <m:oMath>
        <m:r>
          <m:t>α</m:t>
        </m:r>
        <m:r>
          <m:rPr>
            <m:sty m:val="p"/>
          </m:rPr>
          <m:t>=</m:t>
        </m:r>
        <m:r>
          <m:t>0.10</m:t>
        </m:r>
      </m:oMath>
      <w:r>
        <w:t xml:space="preserve"> </w:t>
      </w:r>
      <w:r>
        <w:t xml:space="preserve">HCP</w:t>
      </w:r>
      <w:r>
        <w:t xml:space="preserve"> </w:t>
      </w:r>
      <w:r>
        <w:t xml:space="preserve">attains 0.9615 with 2.43 labels out of 5, against 1.05 for B1. Below</w:t>
      </w:r>
      <w:r>
        <w:t xml:space="preserve"> </w:t>
      </w:r>
      <m:oMath>
        <m:sSub>
          <m:e>
            <m:r>
              <m:t>α</m:t>
            </m:r>
          </m:e>
          <m:sub>
            <m:r>
              <m:rPr>
                <m:sty m:val="p"/>
              </m:rPr>
              <m:t>min</m:t>
            </m:r>
          </m:sub>
        </m:sSub>
      </m:oMath>
      <w:r>
        <w:t xml:space="preserve"> </w:t>
      </w:r>
      <w:r>
        <w:t xml:space="preserve">its</w:t>
      </w:r>
      <w:r>
        <w:t xml:space="preserve"> </w:t>
      </w:r>
      <w:r>
        <w:t xml:space="preserve">“perfect”</w:t>
      </w:r>
      <w:r>
        <w:t xml:space="preserve"> </w:t>
      </w:r>
      <w:r>
        <w:t xml:space="preserve">coverage is abstention.</w:t>
      </w:r>
    </w:p>
    <w:p>
      <w:pPr>
        <w:pStyle w:val="CaptionedFigure"/>
        <w:jc w:val="both"/>
      </w:pPr>
      <w:r>
        <w:drawing>
          <wp:inline>
            <wp:extent cx="5334000" cy="1679032"/>
            <wp:effectExtent b="0" l="0" r="0" t="0"/>
            <wp:docPr descr="Fig. 4. Coverage minus nominal 1-\alpha for split conformal (B1, mean with 2.5–97.5% range across 200 block-level splits) and HCP (B12, mean), primary backbone. Shaded MIT-BIH levels lie below \alpha_{\min}=1/12, where HCP returns every label. Note the different vertical scales." title="" id="57" name="Picture"/>
            <a:graphic>
              <a:graphicData uri="http://schemas.openxmlformats.org/drawingml/2006/picture">
                <pic:pic>
                  <pic:nvPicPr>
                    <pic:cNvPr descr="figures/fig4_coverage.png" id="58" name="Picture"/>
                    <pic:cNvPicPr>
                      <a:picLocks noChangeArrowheads="1" noChangeAspect="1"/>
                    </pic:cNvPicPr>
                  </pic:nvPicPr>
                  <pic:blipFill>
                    <a:blip r:embed="rId56"/>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4.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59"/>
    <w:bookmarkStart w:id="60" w:name="X971afb3920367740875daf59080031d77744c88"/>
    <w:p>
      <w:pPr>
        <w:pStyle w:val="Heading2"/>
      </w:pPr>
      <w:r>
        <w:t xml:space="preserve">8.3 The deficit is attributable to dependence</w:t>
      </w:r>
    </w:p>
    <w:p>
      <w:pPr>
        <w:pStyle w:val="FirstParagraph"/>
        <w:jc w:val="both"/>
      </w:pPr>
      <w:r>
        <w:rPr>
          <w:b/>
          <w:bCs/>
        </w:rPr>
        <w:t xml:space="preserve">Permutation null.</w:t>
      </w:r>
      <w:r>
        <w:t xml:space="preserve"> </w:t>
      </w:r>
      <w:r>
        <w:t xml:space="preserve">To test whether B1 under-covers</w:t>
      </w:r>
      <w:r>
        <w:t xml:space="preserve"> </w:t>
      </w:r>
      <w:r>
        <w:rPr>
          <w:i/>
          <w:iCs/>
        </w:rPr>
        <w:t xml:space="preserve">because of</w:t>
      </w:r>
      <w:r>
        <w:t xml:space="preserve"> </w:t>
      </w:r>
      <w:r>
        <w:t xml:space="preserve">dependence, we</w:t>
      </w:r>
      <w:r>
        <w:t xml:space="preserve"> </w:t>
      </w:r>
      <w:r>
        <w:t xml:space="preserve">compared it with a matched null: beat-to-record assignments in DS2 were permuted,</w:t>
      </w:r>
      <w:r>
        <w:t xml:space="preserve"> </w:t>
      </w:r>
      <w:r>
        <w:t xml:space="preserve">preserving</w:t>
      </w:r>
      <w:r>
        <w:t xml:space="preserve"> </w:t>
      </w:r>
      <m:oMath>
        <m:sSub>
          <m:e>
            <m:r>
              <m:t>K</m:t>
            </m:r>
          </m:e>
          <m:sub>
            <m:r>
              <m:t>1</m:t>
            </m:r>
          </m:sub>
        </m:sSub>
        <m:r>
          <m:rPr>
            <m:sty m:val="p"/>
          </m:rPr>
          <m:t>=</m:t>
        </m:r>
        <m:r>
          <m:t>11</m:t>
        </m:r>
      </m:oMath>
      <w:r>
        <w:t xml:space="preserve">, the multiset of block sizes, and the marginal score</w:t>
      </w:r>
      <w:r>
        <w:t xml:space="preserve"> </w:t>
      </w:r>
      <w:r>
        <w:t xml:space="preserve">distribution exactly, while reducing the score ICC from 0.519 to 0.000. The B1</w:t>
      </w:r>
      <w:r>
        <w:t xml:space="preserve"> </w:t>
      </w:r>
      <w:r>
        <w:t xml:space="preserve">deficit relative to this null is positive at all three feasible levels and</w:t>
      </w:r>
      <w:r>
        <w:t xml:space="preserve"> </w:t>
      </w:r>
      <w:r>
        <w:t xml:space="preserve">significant at each after Holm correction across levels (Table VIII, first row;</w:t>
      </w:r>
      <w:r>
        <w:t xml:space="preserve"> </w:t>
      </w:r>
      <w:r>
        <w:t xml:space="preserve">adjusted one-sided</w:t>
      </w:r>
      <w:r>
        <w:t xml:space="preserve"> </w:t>
      </w:r>
      <m:oMath>
        <m:r>
          <m:t>p</m:t>
        </m:r>
        <m:r>
          <m:rPr>
            <m:sty m:val="p"/>
          </m:rPr>
          <m:t>≤</m:t>
        </m:r>
        <m:r>
          <m:t>0.0075</m:t>
        </m:r>
      </m:oMath>
      <w:r>
        <w:t xml:space="preserve">).</w:t>
      </w:r>
    </w:p>
    <w:p>
      <w:pPr>
        <w:pStyle w:val="BodyText"/>
        <w:keepNext/>
        <w:spacing w:before="160"/>
        <w:jc w:val="center"/>
      </w:pPr>
      <w:r/>
      <w:r>
        <w:rPr>
          <w:sz w:val="18"/>
        </w:rPr>
        <w:t>TABLE VIII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pPr>
            <w:r>
              <w:rPr>
                <w:b/>
                <w:sz w:val="17"/>
              </w:rPr>
              <w:t xml:space="preserve">Backbone</w:t>
            </w:r>
          </w:p>
        </w:tc>
        <w:tc>
          <w:tcPr/>
          <w:p>
            <w:pPr>
              <w:pStyle w:val="Compact"/>
              <w:jc w:val="right"/>
            </w:pPr>
            <w:r>
              <w:rPr>
                <w:b/>
                <w:sz w:val="17"/>
              </w:rPr>
              <w:t xml:space="preserve">Score ICC</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c>
          <w:tcPr/>
          <w:p>
            <w:pPr>
              <w:pStyle w:val="Compact"/>
              <w:jc w:val="center"/>
            </w:pPr>
            <w:r>
              <w:rPr>
                <w:b/>
                <w:sz w:val="17"/>
              </w:rPr>
              <w:t xml:space="preserve">CI</w:t>
            </w:r>
          </w:p>
        </w:tc>
        <w:tc>
          <w:tcPr/>
          <w:p>
            <w:pPr>
              <w:pStyle w:val="Compact"/>
              <w:jc w:val="center"/>
            </w:pPr>
            <w:r>
              <w:rPr>
                <w:b/>
                <w:sz w:val="17"/>
              </w:rPr>
              <w:t xml:space="preserve">Holm</w:t>
            </w:r>
          </w:p>
        </w:tc>
      </w:tr>
      <w:tr>
        <w:tc>
          <w:tcPr/>
          <w:p>
            <w:pPr>
              <w:pStyle w:val="Compact"/>
            </w:pPr>
            <w:r>
              <w:rPr>
                <w:sz w:val="17"/>
              </w:rPr>
              <w:t xml:space="preserve">SmallECGNet</w:t>
            </w:r>
          </w:p>
        </w:tc>
        <w:tc>
          <w:tcPr/>
          <w:p>
            <w:pPr>
              <w:pStyle w:val="Compact"/>
              <w:jc w:val="right"/>
            </w:pPr>
            <w:r>
              <w:rPr>
                <w:sz w:val="17"/>
              </w:rPr>
              <w:t xml:space="preserve">0.519</w:t>
            </w:r>
          </w:p>
        </w:tc>
        <w:tc>
          <w:tcPr/>
          <w:p>
            <w:pPr>
              <w:pStyle w:val="Compact"/>
            </w:pPr>
            <w:r>
              <w:rPr>
                <w:sz w:val="17"/>
              </w:rPr>
              <w:t xml:space="preserve">+1.49 [0.34, 2.71]</w:t>
            </w:r>
          </w:p>
        </w:tc>
        <w:tc>
          <w:tcPr/>
          <w:p>
            <w:pPr>
              <w:pStyle w:val="Compact"/>
            </w:pPr>
            <w:r>
              <w:rPr>
                <w:sz w:val="17"/>
              </w:rPr>
              <w:t xml:space="preserve">+2.21 [0.85, 3.60]</w:t>
            </w:r>
          </w:p>
        </w:tc>
        <w:tc>
          <w:tcPr/>
          <w:p>
            <w:pPr>
              <w:pStyle w:val="Compact"/>
            </w:pPr>
            <w:r>
              <w:rPr>
                <w:sz w:val="17"/>
              </w:rPr>
              <w:t xml:space="preserve">+2.37 [0.79, 3.93]</w:t>
            </w:r>
          </w:p>
        </w:tc>
        <w:tc>
          <w:tcPr/>
          <w:p>
            <w:pPr>
              <w:pStyle w:val="Compact"/>
              <w:jc w:val="center"/>
            </w:pPr>
            <w:r>
              <w:rPr>
                <w:sz w:val="17"/>
              </w:rPr>
              <w:t xml:space="preserve">3/3</w:t>
            </w:r>
          </w:p>
        </w:tc>
        <w:tc>
          <w:tcPr/>
          <w:p>
            <w:pPr>
              <w:pStyle w:val="Compact"/>
              <w:jc w:val="center"/>
            </w:pPr>
            <w:r>
              <w:rPr>
                <w:sz w:val="17"/>
              </w:rPr>
              <w:t xml:space="preserve">3/3</w:t>
            </w:r>
          </w:p>
        </w:tc>
      </w:tr>
      <w:tr>
        <w:tc>
          <w:tcPr/>
          <w:p>
            <w:pPr>
              <w:pStyle w:val="Compact"/>
            </w:pPr>
            <w:r>
              <w:rPr>
                <w:sz w:val="17"/>
              </w:rPr>
              <w:t xml:space="preserve">ResNet1D-34</w:t>
            </w:r>
          </w:p>
        </w:tc>
        <w:tc>
          <w:tcPr/>
          <w:p>
            <w:pPr>
              <w:pStyle w:val="Compact"/>
              <w:jc w:val="right"/>
            </w:pPr>
            <w:r>
              <w:rPr>
                <w:sz w:val="17"/>
              </w:rPr>
              <w:t xml:space="preserve">0.436</w:t>
            </w:r>
          </w:p>
        </w:tc>
        <w:tc>
          <w:tcPr/>
          <w:p>
            <w:pPr>
              <w:pStyle w:val="Compact"/>
            </w:pPr>
            <w:r>
              <w:rPr>
                <w:sz w:val="17"/>
              </w:rPr>
              <w:t xml:space="preserve">+1.15 [0.10, 2.23]</w:t>
            </w:r>
          </w:p>
        </w:tc>
        <w:tc>
          <w:tcPr/>
          <w:p>
            <w:pPr>
              <w:pStyle w:val="Compact"/>
            </w:pPr>
            <w:r>
              <w:rPr>
                <w:sz w:val="17"/>
              </w:rPr>
              <w:t xml:space="preserve">+1.02 [−0.16, 2.23]</w:t>
            </w:r>
          </w:p>
        </w:tc>
        <w:tc>
          <w:tcPr/>
          <w:p>
            <w:pPr>
              <w:pStyle w:val="Compact"/>
            </w:pPr>
            <w:r>
              <w:rPr>
                <w:sz w:val="17"/>
              </w:rPr>
              <w:t xml:space="preserve">+0.81 [−0.59, 2.17]</w:t>
            </w:r>
          </w:p>
        </w:tc>
        <w:tc>
          <w:tcPr/>
          <w:p>
            <w:pPr>
              <w:pStyle w:val="Compact"/>
              <w:jc w:val="center"/>
            </w:pPr>
            <w:r>
              <w:rPr>
                <w:sz w:val="17"/>
              </w:rPr>
              <w:t xml:space="preserve">1/3</w:t>
            </w:r>
          </w:p>
        </w:tc>
        <w:tc>
          <w:tcPr/>
          <w:p>
            <w:pPr>
              <w:pStyle w:val="Compac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The same control shows why the comparison of B12 with B1 is not informative.</w:t>
      </w:r>
      <w:r>
        <w:t xml:space="preserve"> </w:t>
      </w:r>
      <w:r>
        <w:t xml:space="preserve">We define the mechanical share as the ratio of the B12−B1 gap in the permuted</w:t>
      </w:r>
      <w:r>
        <w:t xml:space="preserve"> </w:t>
      </w:r>
      <w:r>
        <w:t xml:space="preserve">arm to the gap on the original data. It ranges from 81% to 107%: the gap is</w:t>
      </w:r>
      <w:r>
        <w:t xml:space="preserve"> </w:t>
      </w:r>
      <w:r>
        <w:t xml:space="preserve">almost unchanged once dependence is removed, and at</w:t>
      </w:r>
      <w:r>
        <w:t xml:space="preserve"> </w:t>
      </w:r>
      <m:oMath>
        <m:r>
          <m:t>α</m:t>
        </m:r>
        <m:r>
          <m:rPr>
            <m:sty m:val="p"/>
          </m:rPr>
          <m:t>=</m:t>
        </m:r>
        <m:r>
          <m:t>0.10</m:t>
        </m:r>
      </m:oMath>
      <w:r>
        <w:t xml:space="preserve"> </w:t>
      </w:r>
      <w:r>
        <w:t xml:space="preserve">it is slightly</w:t>
      </w:r>
      <w:r>
        <w:t xml:space="preserve"> </w:t>
      </w:r>
      <w:r>
        <w:t xml:space="preserve">larger without dependence than with it. HCP’s finite-block correction forces it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of dependence. We therefore withdrew</w:t>
      </w:r>
      <w:r>
        <w:t xml:space="preserve"> </w:t>
      </w:r>
      <w:r>
        <w:t xml:space="preserve">“B12 improves on B1”</w:t>
      </w:r>
      <w:r>
        <w:t xml:space="preserve"> </w:t>
      </w:r>
      <w:r>
        <w:t xml:space="preserve">as a criterion (§10.4) and rely on the deficit against the</w:t>
      </w:r>
      <w:r>
        <w:t xml:space="preserve"> </w:t>
      </w:r>
      <w:r>
        <w:t xml:space="preserve">permutation null throughout.</w:t>
      </w:r>
    </w:p>
    <w:p>
      <w:pPr>
        <w:pStyle w:val="BodyText"/>
        <w:jc w:val="both"/>
      </w:pPr>
      <w:r>
        <w:rPr>
          <w:b/>
          <w:bCs/>
        </w:rPr>
        <w:t xml:space="preserve">Factorial decomposition.</w:t>
      </w:r>
      <w:r>
        <w:t xml:space="preserve"> </w:t>
      </w:r>
      <w:r>
        <w:t xml:space="preserve">A 2×2 design crossed clustering (original vs.</w:t>
      </w:r>
      <w:r>
        <w:t xml:space="preserve"> </w:t>
      </w:r>
      <w:r>
        <w:t xml:space="preserve">randomized record membership) with block-size balance (balanced vs. imbalanced),</w:t>
      </w:r>
      <w:r>
        <w:t xml:space="preserve"> </w:t>
      </w:r>
      <w:r>
        <w:t xml:space="preserve">at fixed calibration size. Clustering reduced coverage by 1.22, 1.55 and 1.49 pp at</w:t>
      </w:r>
      <w:r>
        <w:t xml:space="preserve"> </w:t>
      </w:r>
      <m:oMath>
        <m:r>
          <m:t>α</m:t>
        </m:r>
        <m:r>
          <m:rPr>
            <m:sty m:val="p"/>
          </m:rPr>
          <m:t>=</m:t>
        </m:r>
        <m:r>
          <m:t>0.10</m:t>
        </m:r>
        <m:r>
          <m:rPr>
            <m:sty m:val="p"/>
          </m:rPr>
          <m:t>,</m:t>
        </m:r>
        <m:r>
          <m:t>0.15</m:t>
        </m:r>
        <m:r>
          <m:rPr>
            <m:sty m:val="p"/>
          </m:rPr>
          <m:t>,</m:t>
        </m:r>
        <m:r>
          <m:t>0.20</m:t>
        </m:r>
      </m:oMath>
      <w:r>
        <w:t xml:space="preserve">, with intervals excluding zero at every level</w:t>
      </w:r>
      <w:r>
        <w:t xml:space="preserve"> </w:t>
      </w:r>
      <w:r>
        <w:t xml:space="preserve">(e.g. </w:t>
      </w:r>
      <m:oMath>
        <m:r>
          <m:rPr>
            <m:sty m:val="p"/>
          </m:rPr>
          <m:t>[</m:t>
        </m:r>
        <m:r>
          <m:rPr>
            <m:sty m:val="p"/>
          </m:rPr>
          <m:t>−</m:t>
        </m:r>
        <m:r>
          <m:t>1.84</m:t>
        </m:r>
        <m:r>
          <m:rPr>
            <m:sty m:val="p"/>
          </m:rPr>
          <m:t>,</m:t>
        </m:r>
        <m:r>
          <m:rPr>
            <m:sty m:val="p"/>
          </m:rPr>
          <m:t>−</m:t>
        </m:r>
        <m:r>
          <m:t>0.63</m:t>
        </m:r>
        <m:r>
          <m:rPr>
            <m:sty m:val="p"/>
          </m:rPr>
          <m:t>]</m:t>
        </m:r>
      </m:oMath>
      <w:r>
        <w:t xml:space="preserve"> </w:t>
      </w:r>
      <w:r>
        <w:t xml:space="preserve">pp at 0.10). The imbalance effect (−0.44, −0.26, −0.27 pp)</w:t>
      </w:r>
      <w:r>
        <w:t xml:space="preserve"> </w:t>
      </w:r>
      <w:r>
        <w:t xml:space="preserve">and the interaction were not significant at any level. Block-size imbalance, a</w:t>
      </w:r>
      <w:r>
        <w:t xml:space="preserve"> </w:t>
      </w:r>
      <w:r>
        <w:t xml:space="preserve">plausible alternative explanation, does not account for the deficit.</w:t>
      </w:r>
    </w:p>
    <w:bookmarkEnd w:id="60"/>
    <w:bookmarkStart w:id="64" w:name="the-deficit-tracks-the-design-effect"/>
    <w:p>
      <w:pPr>
        <w:pStyle w:val="Heading2"/>
      </w:pPr>
      <w:r>
        <w:t xml:space="preserve">8.4 The deficit tracks the design effect</w:t>
      </w:r>
    </w:p>
    <w:p>
      <w:pPr>
        <w:pStyle w:val="FirstParagraph"/>
        <w:jc w:val="both"/>
      </w:pPr>
      <w:r>
        <w:t xml:space="preserve">To vary dependence within a single dataset, a fraction</w:t>
      </w:r>
      <w:r>
        <w:t xml:space="preserve"> </w:t>
      </w:r>
      <m:oMath>
        <m:r>
          <m:t>p</m:t>
        </m:r>
      </m:oMath>
      <w:r>
        <w:t xml:space="preserve"> </w:t>
      </w:r>
      <w:r>
        <w:t xml:space="preserve">of MIT-BIH beats was</w:t>
      </w:r>
      <w:r>
        <w:t xml:space="preserve"> </w:t>
      </w:r>
      <w:r>
        <w:t xml:space="preserve">reassigned to random records, with blocks held at a uniform size of 1,355 beats so</w:t>
      </w:r>
      <w:r>
        <w:t xml:space="preserve"> </w:t>
      </w:r>
      <w:r>
        <w:t xml:space="preserve">that imbalance plays no role (11 values of</w:t>
      </w:r>
      <w:r>
        <w:t xml:space="preserve"> </w:t>
      </w:r>
      <m:oMath>
        <m:r>
          <m:t>p</m:t>
        </m:r>
      </m:oMath>
      <w:r>
        <w:t xml:space="preserve">, 300 splits each). The score ICC</w:t>
      </w:r>
      <w:r>
        <w:t xml:space="preserve"> </w:t>
      </w:r>
      <w:r>
        <w:t xml:space="preserve">falls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 blocks are uniform and</w:t>
      </w:r>
      <w:r>
        <w:t xml:space="preserve"> </w:t>
      </w:r>
      <w:r>
        <w:t xml:space="preserve">calibration is subsampled, deficits in this design are smaller than in §8.3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w:t>
      </w:r>
    </w:p>
    <w:p>
      <w:pPr>
        <w:pStyle w:val="BodyText"/>
        <w:jc w:val="both"/>
      </w:pPr>
      <w:r>
        <w:t xml:space="preserve">Per point, every interval contains zero; the evidence lies in the trend, which is</w:t>
      </w:r>
      <w:r>
        <w:t xml:space="preserve"> </w:t>
      </w:r>
      <w:r>
        <w:t xml:space="preserve">what the pre-registered Spearman criterion tests (Table IX). Within MIT-BIH,</w:t>
      </w:r>
      <w:r>
        <w:t xml:space="preserve"> </w:t>
      </w:r>
      <w:r>
        <w:t xml:space="preserve">deficit increases with ICC at all three levels. Adding PTB-XL as a twelfth point</w:t>
      </w:r>
      <w:r>
        <w:t xml:space="preserve"> </w:t>
      </w:r>
      <w:r>
        <w:t xml:space="preserve">requires a common axis. ICC does not provide one: PTB-XL has a patient-level ICC</w:t>
      </w:r>
      <w:r>
        <w:t xml:space="preserve"> </w:t>
      </w:r>
      <w:r>
        <w:t xml:space="preserve">of 0.352, comparable to a MIT-BIH point with a deficit of 0.35 pp, yet shows no</w:t>
      </w:r>
      <w:r>
        <w:t xml:space="preserve"> </w:t>
      </w:r>
      <w:r>
        <w:t xml:space="preserve">deficit. The design effect</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with</w:t>
      </w:r>
      <w:r>
        <w:t xml:space="preserve"> </w:t>
      </w:r>
      <m:oMath>
        <m:r>
          <m:t>H</m:t>
        </m:r>
      </m:oMath>
      <w:r>
        <w:t xml:space="preserve"> </w:t>
      </w:r>
      <w:r>
        <w:t xml:space="preserve">the harmonic</w:t>
      </w:r>
      <w:r>
        <w:t xml:space="preserve"> </w:t>
      </w:r>
      <w:r>
        <w:t xml:space="preserve">mean block size, does:</w:t>
      </w:r>
      <w:r>
        <w:t xml:space="preserve"> </w:t>
      </w:r>
      <m:oMath>
        <m:r>
          <m:t>H</m:t>
        </m:r>
        <m:r>
          <m:rPr>
            <m:sty m:val="p"/>
          </m:rPr>
          <m:t>=</m:t>
        </m:r>
        <m:r>
          <m:t>1.05</m:t>
        </m:r>
      </m:oMath>
      <w:r>
        <w:t xml:space="preserve"> </w:t>
      </w:r>
      <w:r>
        <w:t xml:space="preserve">gives PTB-XL a DEff of 1.02, against 704 for</w:t>
      </w:r>
      <w:r>
        <w:t xml:space="preserve"> </w:t>
      </w:r>
      <w:r>
        <w:t xml:space="preserve">intact MIT-BIH. We use DEff as a summary axis, not as a sufficient statistic;</w:t>
      </w:r>
      <w:r>
        <w:t xml:space="preserve"> </w:t>
      </w:r>
      <w:r>
        <w:t xml:space="preserve">see [40] for an exceedance-specific design effect. On this axis the combined</w:t>
      </w:r>
      <w:r>
        <w:t xml:space="preserve"> </w:t>
      </w:r>
      <w:r>
        <w:t xml:space="preserve">correlation remains positive and significant (Fig. 5). Because the correlation in (6)</w:t>
      </w:r>
      <w:r>
        <w:t xml:space="preserve"> </w:t>
      </w:r>
      <w:r>
        <w:t xml:space="preserve">concerns the coverage</w:t>
      </w:r>
      <w:r>
        <w:t xml:space="preserve"> </w:t>
      </w:r>
      <w:r>
        <w:rPr>
          <w:i/>
          <w:iCs/>
        </w:rPr>
        <w:t xml:space="preserve">indicator</w:t>
      </w:r>
      <w:r>
        <w:t xml:space="preserve"> </w:t>
      </w:r>
      <w:r>
        <w:t xml:space="preserve">rather than raw scores, we recomputed the curve</w:t>
      </w:r>
      <w:r>
        <w:t xml:space="preserve"> </w:t>
      </w:r>
      <w:r>
        <w:t xml:space="preserve">with the indicator ICC at a fixed threshold; the conclusion is unchanged.</w:t>
      </w:r>
    </w:p>
    <w:p>
      <w:pPr>
        <w:pStyle w:val="BodyText"/>
        <w:keepNext/>
        <w:spacing w:before="160"/>
        <w:jc w:val="center"/>
      </w:pPr>
      <w:r/>
      <w:r>
        <w:rPr>
          <w:sz w:val="18"/>
        </w:rPr>
        <w:t>TABLE IX</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pPr>
            <w:r>
              <w:rPr>
                <w:b/>
                <w:sz w:val="17"/>
              </w:rPr>
              <w:t xml:space="preserve">Axis</w:t>
            </w:r>
          </w:p>
        </w:tc>
        <w:tc>
          <w:tcPr/>
          <w:p>
            <w:pPr>
              <w:pStyle w:val="Compact"/>
              <w:jc w:val="right"/>
            </w:pPr>
            <w:r>
              <w:rPr>
                <w:b/>
                <w:sz w:val="17"/>
              </w:rPr>
              <w:t xml:space="preserve">Points</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r>
      <w:tr>
        <w:tc>
          <w:tcPr/>
          <w:p>
            <w:pPr>
              <w:pStyle w:val="Compact"/>
            </w:pPr>
            <w:r>
              <w:rPr>
                <w:sz w:val="17"/>
              </w:rPr>
              <w:t xml:space="preserve">Score ICC, MIT-BIH only</w:t>
            </w:r>
          </w:p>
        </w:tc>
        <w:tc>
          <w:tcPr/>
          <w:p>
            <w:pPr>
              <w:pStyle w:val="Compact"/>
              <w:jc w:val="right"/>
            </w:pPr>
            <w:r>
              <w:rPr>
                <w:sz w:val="17"/>
              </w:rPr>
              <w:t xml:space="preserve">11</w:t>
            </w:r>
          </w:p>
        </w:tc>
        <w:tc>
          <w:tcPr/>
          <w:p>
            <w:pPr>
              <w:pStyle w:val="Compact"/>
            </w:pPr>
            <w:r>
              <w:rPr>
                <w:sz w:val="17"/>
              </w:rPr>
              <w:t xml:space="preserve">0.88 (</w:t>
            </w:r>
            <m:oMath>
              <m:r>
                <m:t>p</m:t>
              </m:r>
              <m:r>
                <m:rPr>
                  <m:sty m:val="p"/>
                </m:rPr>
                <m:t>=</m:t>
              </m:r>
              <m:r>
                <m:t>0.0003</m:t>
              </m:r>
            </m:oMath>
            <w:r>
              <w:rPr>
                <w:sz w:val="17"/>
              </w:rPr>
              <w:t xml:space="preserve">)</w:t>
            </w:r>
          </w:p>
        </w:tc>
        <w:tc>
          <w:tcPr/>
          <w:p>
            <w:pPr>
              <w:pStyle w:val="Compact"/>
            </w:pPr>
            <w:r>
              <w:rPr>
                <w:sz w:val="17"/>
              </w:rPr>
              <w:t xml:space="preserve">0.78 (</w:t>
            </w:r>
            <m:oMath>
              <m:r>
                <m:t>p</m:t>
              </m:r>
              <m:r>
                <m:rPr>
                  <m:sty m:val="p"/>
                </m:rPr>
                <m:t>=</m:t>
              </m:r>
              <m:r>
                <m:t>0.0045</m:t>
              </m:r>
            </m:oMath>
            <w:r>
              <w:rPr>
                <w:sz w:val="17"/>
              </w:rPr>
              <w:t xml:space="preserve">)</w:t>
            </w:r>
          </w:p>
        </w:tc>
        <w:tc>
          <w:tcPr/>
          <w:p>
            <w:pPr>
              <w:pStyle w:val="Compact"/>
            </w:pPr>
            <w:r>
              <w:rPr>
                <w:sz w:val="17"/>
              </w:rPr>
              <w:t xml:space="preserve">0.80 (</w:t>
            </w:r>
            <m:oMath>
              <m:r>
                <m:t>p</m:t>
              </m:r>
              <m:r>
                <m:rPr>
                  <m:sty m:val="p"/>
                </m:rPr>
                <m:t>=</m:t>
              </m:r>
              <m:r>
                <m:t>0.0031</m:t>
              </m:r>
            </m:oMath>
            <w:r>
              <w:rPr>
                <w:sz w:val="17"/>
              </w:rPr>
              <w:t xml:space="preserve">)</w:t>
            </w:r>
          </w:p>
        </w:tc>
      </w:tr>
      <w:tr>
        <w:tc>
          <w:tcPr/>
          <w:p>
            <w:pPr>
              <w:pStyle w:val="Compact"/>
            </w:pPr>
            <w:r>
              <w:rPr>
                <w:sz w:val="17"/>
              </w:rPr>
              <w:t xml:space="preserve">DEff, MIT-BIH + PTB-XL</w:t>
            </w:r>
          </w:p>
        </w:tc>
        <w:tc>
          <w:tcPr/>
          <w:p>
            <w:pPr>
              <w:pStyle w:val="Compact"/>
              <w:jc w:val="right"/>
            </w:pPr>
            <w:r>
              <w:rPr>
                <w:sz w:val="17"/>
              </w:rPr>
              <w:t xml:space="preserve">12</w:t>
            </w:r>
          </w:p>
        </w:tc>
        <w:tc>
          <w:tcPr/>
          <w:p>
            <w:pPr>
              <w:pStyle w:val="Compact"/>
            </w:pPr>
            <w:r>
              <w:rPr>
                <w:sz w:val="17"/>
              </w:rPr>
              <w:t xml:space="preserve">0.84 (</w:t>
            </w:r>
            <m:oMath>
              <m:r>
                <m:t>p</m:t>
              </m:r>
              <m:r>
                <m:rPr>
                  <m:sty m:val="p"/>
                </m:rPr>
                <m:t>=</m:t>
              </m:r>
              <m:r>
                <m:t>0.0006</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The combined correlation is driven by the internal MIT-BIH gradient; PTB-XL serves</w:t>
      </w:r>
      <w:r>
        <w:t xml:space="preserve"> </w:t>
      </w:r>
      <w:r>
        <w:t xml:space="preserve">as a prediction check at the low-dependence end, not as an independent trend</w:t>
      </w:r>
      <w:r>
        <w:t xml:space="preserve"> </w:t>
      </w:r>
      <w:r>
        <w:t xml:space="preserve">(§10.3). PTB-XL’s deficits on this protocol are −0.05, −0.12 and −0.16 pp, i.e.</w:t>
      </w:r>
      <w:r>
        <w:t xml:space="preserve"> </w:t>
      </w:r>
      <w:r>
        <w:t xml:space="preserve">slight over-coverage, with every interval containing zero.</w:t>
      </w:r>
    </w:p>
    <w:p>
      <w:pPr>
        <w:pStyle w:val="CaptionedFigure"/>
        <w:jc w:val="both"/>
      </w:pPr>
      <w:r>
        <w:drawing>
          <wp:inline>
            <wp:extent cx="3108960" cy="2277948"/>
            <wp:effectExtent b="0" l="0" r="0" t="0"/>
            <wp:docPr descr="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62" name="Picture"/>
            <a:graphic>
              <a:graphicData uri="http://schemas.openxmlformats.org/drawingml/2006/picture">
                <pic:pic>
                  <pic:nvPicPr>
                    <pic:cNvPr descr="figures/fig5_dose_response.png" id="63" name="Picture"/>
                    <pic:cNvPicPr>
                      <a:picLocks noChangeArrowheads="1" noChangeAspect="1"/>
                    </pic:cNvPicPr>
                  </pic:nvPicPr>
                  <pic:blipFill>
                    <a:blip r:embed="rId61"/>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64"/>
    <w:bookmarkStart w:id="68" w:name="robustness-to-backbone-and-checkpoint"/>
    <w:p>
      <w:pPr>
        <w:pStyle w:val="Heading2"/>
      </w:pPr>
      <w:r>
        <w:t xml:space="preserve">8.5 Robustness to backbone and checkpoint</w:t>
      </w:r>
    </w:p>
    <w:p>
      <w:pPr>
        <w:pStyle w:val="FirstParagraph"/>
        <w:jc w:val="both"/>
      </w:pPr>
      <w:r>
        <w:rPr>
          <w:b/>
          <w:bCs/>
        </w:rPr>
        <w:t xml:space="preserve">Backbone.</w:t>
      </w:r>
      <w:r>
        <w:t xml:space="preserve"> </w:t>
      </w:r>
      <w:r>
        <w:t xml:space="preserve">We repeated the audit with two 1-D residual networks of roughly 70-</w:t>
      </w:r>
      <w:r>
        <w:t xml:space="preserve"> </w:t>
      </w:r>
      <w:r>
        <w:t xml:space="preserve">and 155-fold the parameter count of the primary backbone (Table X). Discrimination</w:t>
      </w:r>
      <w:r>
        <w:t xml:space="preserve"> </w:t>
      </w:r>
      <w:r>
        <w:t xml:space="preserve">responded unevenly to capacity: MIT-BIH accuracy rose from 0.869 to 0.926, but</w:t>
      </w:r>
      <w:r>
        <w:t xml:space="preserve"> </w:t>
      </w:r>
      <w:r>
        <w:t xml:space="preserve">balanced accuracy stayed at 0.370–0.376, and PTB-XL macro-AUROC</w:t>
      </w:r>
      <w:r>
        <w:t xml:space="preserve"> </w:t>
      </w:r>
      <w:r>
        <w:rPr>
          <w:i/>
          <w:iCs/>
        </w:rPr>
        <w:t xml:space="preserve">fell</w:t>
      </w:r>
      <w:r>
        <w:t xml:space="preserve"> </w:t>
      </w:r>
      <w:r>
        <w:t xml:space="preserve">slightly</w:t>
      </w:r>
      <w:r>
        <w:t xml:space="preserve"> </w:t>
      </w:r>
      <w:r>
        <w:t xml:space="preserve">from 0.902 to 0.896.</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as it must be; this serves as a negative control on the pipeline.</w:t>
      </w:r>
    </w:p>
    <w:p>
      <w:pPr>
        <w:pStyle w:val="BodyText"/>
        <w:keepNext/>
        <w:spacing w:before="160"/>
        <w:jc w:val="center"/>
      </w:pPr>
      <w:r/>
      <w:r>
        <w:rPr>
          <w:sz w:val="18"/>
        </w:rPr>
        <w:t>TABLE X</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pPr>
            <w:r>
              <w:rPr>
                <w:b/>
                <w:sz w:val="17"/>
              </w:rPr>
              <w:t xml:space="preserve">Backbone</w:t>
            </w:r>
          </w:p>
        </w:tc>
        <w:tc>
          <w:tcPr/>
          <w:p>
            <w:pPr>
              <w:pStyle w:val="Compact"/>
            </w:pPr>
            <w:r>
              <w:rPr>
                <w:b/>
                <w:sz w:val="17"/>
              </w:rPr>
              <w:t xml:space="preserve">Parameters (MIT-BIH / PTB-XL)</w:t>
            </w:r>
          </w:p>
        </w:tc>
        <w:tc>
          <w:tcPr/>
          <w:p>
            <w:pPr>
              <w:pStyle w:val="Compact"/>
              <w:jc w:val="right"/>
            </w:pPr>
            <w:r>
              <w:rPr>
                <w:b/>
                <w:sz w:val="17"/>
              </w:rPr>
              <w:t xml:space="preserve">MIT-BIH accuracy</w:t>
            </w:r>
          </w:p>
        </w:tc>
        <w:tc>
          <w:tcPr/>
          <w:p>
            <w:pPr>
              <w:pStyle w:val="Compact"/>
              <w:jc w:val="right"/>
            </w:pPr>
            <w:r>
              <w:rPr>
                <w:b/>
                <w:sz w:val="17"/>
              </w:rPr>
              <w:t xml:space="preserve">MIT-BIH balanced acc.</w:t>
            </w:r>
          </w:p>
        </w:tc>
        <w:tc>
          <w:tcPr/>
          <w:p>
            <w:pPr>
              <w:pStyle w:val="Compact"/>
              <w:jc w:val="right"/>
            </w:pPr>
            <w:r>
              <w:rPr>
                <w:b/>
                <w:sz w:val="17"/>
              </w:rPr>
              <w:t xml:space="preserve">PTB-XL macro-AUROC</w:t>
            </w:r>
          </w:p>
        </w:tc>
      </w:tr>
      <w:tr>
        <w:tc>
          <w:tcPr/>
          <w:p>
            <w:pPr>
              <w:pStyle w:val="Compact"/>
            </w:pPr>
            <w:r>
              <w:rPr>
                <w:sz w:val="17"/>
              </w:rPr>
              <w:t xml:space="preserve">SmallECGNet</w:t>
            </w:r>
          </w:p>
        </w:tc>
        <w:tc>
          <w:tcPr/>
          <w:p>
            <w:pPr>
              <w:pStyle w:val="Compact"/>
            </w:pPr>
            <w:r>
              <w:rPr>
                <w:sz w:val="17"/>
              </w:rPr>
              <w:t xml:space="preserve">101,925 / 104,389</w:t>
            </w:r>
          </w:p>
        </w:tc>
        <w:tc>
          <w:tcPr/>
          <w:p>
            <w:pPr>
              <w:pStyle w:val="Compact"/>
              <w:jc w:val="right"/>
            </w:pPr>
            <w:r>
              <w:rPr>
                <w:sz w:val="17"/>
              </w:rPr>
              <w:t xml:space="preserve">0.869</w:t>
            </w:r>
          </w:p>
        </w:tc>
        <w:tc>
          <w:tcPr/>
          <w:p>
            <w:pPr>
              <w:pStyle w:val="Compact"/>
              <w:jc w:val="right"/>
            </w:pPr>
            <w:r>
              <w:rPr>
                <w:sz w:val="17"/>
              </w:rPr>
              <w:t xml:space="preserve">0.375</w:t>
            </w:r>
          </w:p>
        </w:tc>
        <w:tc>
          <w:tcPr/>
          <w:p>
            <w:pPr>
              <w:pStyle w:val="Compact"/>
              <w:jc w:val="right"/>
            </w:pPr>
            <w:r>
              <w:rPr>
                <w:sz w:val="17"/>
              </w:rPr>
              <w:t xml:space="preserve">0.902</w:t>
            </w:r>
          </w:p>
        </w:tc>
      </w:tr>
      <w:tr>
        <w:tc>
          <w:tcPr/>
          <w:p>
            <w:pPr>
              <w:pStyle w:val="Compact"/>
            </w:pPr>
            <w:r>
              <w:rPr>
                <w:sz w:val="17"/>
              </w:rPr>
              <w:t xml:space="preserve">ResNet1D-34</w:t>
            </w:r>
          </w:p>
        </w:tc>
        <w:tc>
          <w:tcPr/>
          <w:p>
            <w:pPr>
              <w:pStyle w:val="Compact"/>
            </w:pPr>
            <w:r>
              <w:rPr>
                <w:sz w:val="17"/>
              </w:rPr>
              <w:t xml:space="preserve">7,220,805 / 7,225,733</w:t>
            </w:r>
          </w:p>
        </w:tc>
        <w:tc>
          <w:tcPr/>
          <w:p>
            <w:pPr>
              <w:pStyle w:val="Compact"/>
              <w:jc w:val="right"/>
            </w:pPr>
            <w:r>
              <w:rPr>
                <w:sz w:val="17"/>
              </w:rPr>
              <w:t xml:space="preserve">0.922</w:t>
            </w:r>
          </w:p>
        </w:tc>
        <w:tc>
          <w:tcPr/>
          <w:p>
            <w:pPr>
              <w:pStyle w:val="Compact"/>
              <w:jc w:val="right"/>
            </w:pPr>
            <w:r>
              <w:rPr>
                <w:sz w:val="17"/>
              </w:rPr>
              <w:t xml:space="preserve">0.376</w:t>
            </w:r>
          </w:p>
        </w:tc>
        <w:tc>
          <w:tcPr/>
          <w:p>
            <w:pPr>
              <w:pStyle w:val="Compac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attained nominal coverage in all 9 backbone×</w:t>
      </w:r>
      <m:oMath>
        <m:r>
          <m:t>α</m:t>
        </m:r>
      </m:oMath>
      <w:r>
        <w:t xml:space="preserve"> </w:t>
      </w:r>
      <w:r>
        <w:t xml:space="preserve">cells (mean</w:t>
      </w:r>
      <w:r>
        <w:t xml:space="preserve"> </w:t>
      </w:r>
      <w:r>
        <w:t xml:space="preserve">deficit +0.05 to +0.19 pp above nominal). On MIT-BIH, the permutation test of</w:t>
      </w:r>
      <w:r>
        <w:t xml:space="preserve"> </w:t>
      </w:r>
      <w:r>
        <w:t xml:space="preserve">§8.3 was repeated for each backbone under a criterion fixed beforehand:</w:t>
      </w:r>
      <w:r>
        <w:t xml:space="preserve"> </w:t>
      </w:r>
      <w:r>
        <w:t xml:space="preserve">significance at every feasible</w:t>
      </w:r>
      <w:r>
        <w:t xml:space="preserve"> </w:t>
      </w:r>
      <m:oMath>
        <m:r>
          <m:t>α</m:t>
        </m:r>
      </m:oMath>
      <w:r>
        <w:t xml:space="preserve"> </w:t>
      </w:r>
      <w:r>
        <w:t xml:space="preserve">(Table VIII, Fig. 6).</w:t>
      </w:r>
    </w:p>
    <w:p>
      <w:pPr>
        <w:pStyle w:val="BodyText"/>
        <w:jc w:val="both"/>
      </w:pPr>
      <w:r>
        <w:t xml:space="preserve">The deficit is positive in all 9 cells. By 95% interval it is significant in 7;</w:t>
      </w:r>
      <w:r>
        <w:t xml:space="preserve"> </w:t>
      </w:r>
      <w:r>
        <w:t xml:space="preserve">after the pre-specified Holm correction across the three levels it is significant</w:t>
      </w:r>
      <w:r>
        <w:t xml:space="preserve"> </w:t>
      </w:r>
      <w:r>
        <w:t xml:space="preserve">at 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 but at none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w:t>
      </w:r>
      <w:r>
        <w:t xml:space="preserve"> </w:t>
      </w:r>
      <w:r>
        <w:t xml:space="preserve">The criterion therefore fails for ResNet1D-34. We claim that the direction of the</w:t>
      </w:r>
      <w:r>
        <w:t xml:space="preserve"> </w:t>
      </w:r>
      <w:r>
        <w:t xml:space="preserve">contrast between datasets is invariant to the backbone, but not that its</w:t>
      </w:r>
      <w:r>
        <w:t xml:space="preserve"> </w:t>
      </w:r>
      <w:r>
        <w:t xml:space="preserve">statistical strength is. The mechanical share of the B12−B1 gap under permutation</w:t>
      </w:r>
      <w:r>
        <w:t xml:space="preserve"> </w:t>
      </w:r>
      <w:r>
        <w:t xml:space="preserve">was 75–110% across the three backbones, confirming the withdrawal of that</w:t>
      </w:r>
      <w:r>
        <w:t xml:space="preserve"> </w:t>
      </w:r>
      <w:r>
        <w:t xml:space="preserve">criterion beyond the primary model.</w:t>
      </w:r>
    </w:p>
    <w:p>
      <w:pPr>
        <w:pStyle w:val="CaptionedFigure"/>
        <w:jc w:val="both"/>
      </w:pPr>
      <w:r>
        <w:drawing>
          <wp:inline>
            <wp:extent cx="3108960" cy="1962112"/>
            <wp:effectExtent b="0" l="0" r="0" t="0"/>
            <wp:docPr descr="Fig. 6. MIT-BIH B1 coverage deficit against the matched permutation null, by backbone and \alpha (point estimate and 95% bootstrap CI). Open markers denote intervals that include zero." title="" id="66" name="Picture"/>
            <a:graphic>
              <a:graphicData uri="http://schemas.openxmlformats.org/drawingml/2006/picture">
                <pic:pic>
                  <pic:nvPicPr>
                    <pic:cNvPr descr="figures/fig6_backbone_permutation.png" id="67" name="Picture"/>
                    <pic:cNvPicPr>
                      <a:picLocks noChangeArrowheads="1" noChangeAspect="1"/>
                    </pic:cNvPicPr>
                  </pic:nvPicPr>
                  <pic:blipFill>
                    <a:blip r:embed="rId65"/>
                    <a:stretch>
                      <a:fillRect/>
                    </a:stretch>
                  </pic:blipFill>
                  <pic:spPr bwMode="auto">
                    <a:xfrm>
                      <a:off x="0" y="0"/>
                      <a:ext cx="3108960" cy="1962112"/>
                    </a:xfrm>
                    <a:prstGeom prst="rect">
                      <a:avLst/>
                    </a:prstGeom>
                    <a:noFill/>
                    <a:ln w="9525">
                      <a:noFill/>
                      <a:headEnd/>
                      <a:tailEnd/>
                    </a:ln>
                  </pic:spPr>
                </pic:pic>
              </a:graphicData>
            </a:graphic>
          </wp:inline>
        </w:drawing>
      </w:r>
    </w:p>
    <w:p>
      <w:pPr>
        <w:pStyle w:val="ImageCaption"/>
        <w:jc w:val="both"/>
      </w:pPr>
      <w:r>
        <w:t xml:space="preserve">Fig. 6. MIT-BIH B1 coverage deficit against the matched permutation null, by backbone and</w:t>
      </w:r>
      <w:r>
        <w:t xml:space="preserve"> </w:t>
      </w:r>
      <m:oMath>
        <m:r>
          <m:t>α</m:t>
        </m:r>
      </m:oMath>
      <w:r>
        <w:t xml:space="preserve"> </w:t>
      </w:r>
      <w:r>
        <w:t xml:space="preserve">(point estimate and 95% bootstrap CI). Open markers denote intervals that include zero.</w:t>
      </w:r>
    </w:p>
    <w:p>
      <w:pPr>
        <w:pStyle w:val="BodyText"/>
        <w:jc w:val="both"/>
      </w:pPr>
      <w:r>
        <w:rPr>
          <w:b/>
          <w:bCs/>
        </w:rPr>
        <w:t xml:space="preserve">Checkpoint.</w:t>
      </w:r>
      <w:r>
        <w:t xml:space="preserve"> </w:t>
      </w:r>
      <w:r>
        <w:t xml:space="preserve">The MIT-BIH validation set holds 4 records, and early stopping</w:t>
      </w:r>
      <w:r>
        <w:t xml:space="preserve"> </w:t>
      </w:r>
      <w:r>
        <w:t xml:space="preserve">selected epoch 1 for ResNet1D-50. A pre-registered sensitivity analysis repeated</w:t>
      </w:r>
      <w:r>
        <w:t xml:space="preserve"> </w:t>
      </w:r>
      <w:r>
        <w:t xml:space="preserve">the audit with last-epoch weights for both residual networks on both datasets</w:t>
      </w:r>
      <w:r>
        <w:t xml:space="preserve"> </w:t>
      </w:r>
      <w:r>
        <w:t xml:space="preserve">(MIT-BIH epochs 13 vs. 8 and 6 vs. 1; PTB-XL 14 vs. 9 and 12 vs. 7). The sign of</w:t>
      </w:r>
      <w:r>
        <w:t xml:space="preserve"> </w:t>
      </w:r>
      <w:r>
        <w:t xml:space="preserve">the B1 deficit agreed in all 16 backbone×dataset×</w:t>
      </w:r>
      <m:oMath>
        <m:r>
          <m:t>α</m:t>
        </m:r>
      </m:oMath>
      <w:r>
        <w:t xml:space="preserve"> </w:t>
      </w:r>
      <w:r>
        <w:t xml:space="preserve">cells, and</w:t>
      </w:r>
      <w:r>
        <w:t xml:space="preserve"> </w:t>
      </w:r>
      <m:oMath>
        <m:sSub>
          <m:e>
            <m:r>
              <m:t>K</m:t>
            </m:r>
          </m:e>
          <m:sub>
            <m:r>
              <m:t>1</m:t>
            </m:r>
          </m:sub>
        </m:sSub>
        <m:r>
          <m:rPr>
            <m:sty m:val="p"/>
          </m:rPr>
          <m:t>(</m:t>
        </m:r>
        <m:r>
          <m:t>ℓ</m:t>
        </m:r>
        <m:r>
          <m:rPr>
            <m:sty m:val="p"/>
          </m:rPr>
          <m:t>)</m:t>
        </m:r>
      </m:oMath>
      <w:r>
        <w:t xml:space="preserve"> </w:t>
      </w:r>
      <w:r>
        <w:t xml:space="preserve">was identical. The magnitude did not agree: it moved by up to 1.8 pp on MIT-BIH,</w:t>
      </w:r>
      <w:r>
        <w:t xml:space="preserve"> </w:t>
      </w:r>
      <w:r>
        <w:t xml:space="preserve">enough to reorder the backbones. Differences in deficit magnitude between</w:t>
      </w:r>
      <w:r>
        <w:t xml:space="preserve"> </w:t>
      </w:r>
      <w:r>
        <w:t xml:space="preserve">backbones are therefore not interpreted.</w:t>
      </w:r>
    </w:p>
    <w:bookmarkEnd w:id="68"/>
    <w:bookmarkEnd w:id="69"/>
    <w:bookmarkStart w:id="76" w:name="discussion"/>
    <w:p>
      <w:pPr>
        <w:pStyle w:val="Heading1"/>
      </w:pPr>
      <w:r>
        <w:t xml:space="preserve">9. Discussion</w:t>
      </w:r>
    </w:p>
    <w:bookmarkStart w:id="70" w:name="what-the-audit-establishes"/>
    <w:p>
      <w:pPr>
        <w:pStyle w:val="Heading2"/>
      </w:pPr>
      <w:r>
        <w:t xml:space="preserve">9.1 What the audit establishes</w:t>
      </w:r>
    </w:p>
    <w:p>
      <w:pPr>
        <w:pStyle w:val="FirstParagraph"/>
        <w:jc w:val="both"/>
      </w:pPr>
      <w:r>
        <w:t xml:space="preserve">The audit separates two questions that are usually merged:</w:t>
      </w:r>
      <w:r>
        <w:t xml:space="preserve"> </w:t>
      </w:r>
      <w:r>
        <w:rPr>
          <w:i/>
          <w:iCs/>
        </w:rPr>
        <w:t xml:space="preserve">can</w:t>
      </w:r>
      <w:r>
        <w:t xml:space="preserve"> </w:t>
      </w:r>
      <w:r>
        <w:t xml:space="preserve">a block-level</w:t>
      </w:r>
      <w:r>
        <w:t xml:space="preserve"> </w:t>
      </w:r>
      <w:r>
        <w:t xml:space="preserve">coverage guarantee be enforced on a given clinical dataset, and</w:t>
      </w:r>
      <w:r>
        <w:t xml:space="preserve"> </w:t>
      </w:r>
      <w:r>
        <w:rPr>
          <w:i/>
          <w:iCs/>
        </w:rPr>
        <w:t xml:space="preserve">does</w:t>
      </w:r>
      <w:r>
        <w:t xml:space="preserve"> </w:t>
      </w:r>
      <w:r>
        <w:t xml:space="preserve">ignoring</w:t>
      </w:r>
      <w:r>
        <w:t xml:space="preserve"> </w:t>
      </w:r>
      <w:r>
        <w:t xml:space="preserve">the block structure cost coverage when it is not enforced. The first question is</w:t>
      </w:r>
      <w:r>
        <w:t xml:space="preserve"> </w:t>
      </w:r>
      <w:r>
        <w:t xml:space="preserve">combinatorial. It is answered from metadata, before any model is trained, and</w:t>
      </w:r>
      <w:r>
        <w:t xml:space="preserve"> </w:t>
      </w:r>
      <w:r>
        <w:t xml:space="preserve">its answers on public ECG resources are more restrictive than their size</w:t>
      </w:r>
      <w:r>
        <w:t xml:space="preserve"> </w:t>
      </w:r>
      <w:r>
        <w:t xml:space="preserve">suggests. The second question is statistical, and its answer depends on how much</w:t>
      </w:r>
      <w:r>
        <w:t xml:space="preserve"> </w:t>
      </w:r>
      <w:r>
        <w:t xml:space="preserve">repetition the blocks contain rather than on how strongly observations within a</w:t>
      </w:r>
      <w:r>
        <w:t xml:space="preserve"> </w:t>
      </w:r>
      <w:r>
        <w:t xml:space="preserve">block are correlated.</w:t>
      </w:r>
    </w:p>
    <w:p>
      <w:pPr>
        <w:pStyle w:val="BodyText"/>
        <w:jc w:val="both"/>
      </w:pPr>
      <w:r>
        <w:t xml:space="preserve">On the first question, three results stand out. PTB-XL fold 9 holds 2,183</w:t>
      </w:r>
      <w:r>
        <w:t xml:space="preserve"> </w:t>
      </w:r>
      <w:r>
        <w:t xml:space="preserve">records, yet once its four documented dependence sources are all declared, every</w:t>
      </w:r>
      <w:r>
        <w:t xml:space="preserve"> </w:t>
      </w:r>
      <w:r>
        <w:t xml:space="preserve">admissible calibration grouping collapses to a single block (§8.1). At the label</w:t>
      </w:r>
      <w:r>
        <w:t xml:space="preserve"> </w:t>
      </w:r>
      <w:r>
        <w:t xml:space="preserve">level, 24 of 44 SCP statements cannot receive a finite per-label threshold at</w:t>
      </w:r>
      <w:r>
        <w:t xml:space="preserve"> </w:t>
      </w:r>
      <m:oMath>
        <m:r>
          <m:t>α</m:t>
        </m:r>
        <m:r>
          <m:rPr>
            <m:sty m:val="p"/>
          </m:rPr>
          <m:t>=</m:t>
        </m:r>
        <m:r>
          <m:t>0.05</m:t>
        </m:r>
      </m:oMath>
      <w:r>
        <w:t xml:space="preserve"> </w:t>
      </w:r>
      <w:r>
        <w:t xml:space="preserve">even under patient-level blocking alone, because fewer than 19</w:t>
      </w:r>
      <w:r>
        <w:t xml:space="preserve"> </w:t>
      </w:r>
      <w:r>
        <w:t xml:space="preserve">calibration patients carry them (Table VI, Fig. 3). And on MIT-BIH, dividing</w:t>
      </w:r>
      <w:r>
        <w:t xml:space="preserve"> </w:t>
      </w:r>
      <w:r>
        <w:t xml:space="preserve">the 22 evaluation subjects of the canonical inter-patient partition evenly</w:t>
      </w:r>
      <w:r>
        <w:t xml:space="preserve"> </w:t>
      </w:r>
      <w:r>
        <w:t xml:space="preserve">between calibration and test gives</w:t>
      </w:r>
      <w:r>
        <w:t xml:space="preserve"> </w:t>
      </w:r>
      <m:oMath>
        <m:sSub>
          <m:e>
            <m:r>
              <m:t>K</m:t>
            </m:r>
          </m:e>
          <m:sub>
            <m:r>
              <m:t>1</m:t>
            </m:r>
          </m:sub>
        </m:sSub>
        <m:r>
          <m:rPr>
            <m:sty m:val="p"/>
          </m:rPr>
          <m:t>=</m:t>
        </m:r>
        <m:r>
          <m:t>11</m:t>
        </m:r>
      </m:oMath>
      <w:r>
        <w:t xml:space="preserve"> </w:t>
      </w:r>
      <w:r>
        <w:t xml:space="preserve">and therefore</w:t>
      </w:r>
      <w:r>
        <w:t xml:space="preserve"> </w:t>
      </w:r>
      <m:oMath>
        <m:sSub>
          <m:e>
            <m:r>
              <m:t>α</m:t>
            </m:r>
          </m:e>
          <m:sub>
            <m:r>
              <m:rPr>
                <m:sty m:val="p"/>
              </m:rPr>
              <m:t>min</m:t>
            </m:r>
          </m:sub>
        </m:sSub>
        <m:r>
          <m:rPr>
            <m:sty m:val="p"/>
          </m:rPr>
          <m:t>=</m:t>
        </m:r>
        <m:r>
          <m:t>1</m:t>
        </m:r>
        <m:r>
          <m:rPr>
            <m:sty m:val="p"/>
          </m:rPr>
          <m:t>/</m:t>
        </m:r>
        <m:r>
          <m:t>12</m:t>
        </m:r>
      </m:oMath>
      <w:r>
        <w:t xml:space="preserve">:</w:t>
      </w:r>
      <w:r>
        <w:t xml:space="preserve"> </w:t>
      </w:r>
      <w:r>
        <w:t xml:space="preserve">no subject-level guarantee at the conventional 95% level is attainable under</w:t>
      </w:r>
      <w:r>
        <w:t xml:space="preserve"> </w:t>
      </w:r>
      <w:r>
        <w:t xml:space="preserve">that design, regardless of the model or the number of beats per record. None of</w:t>
      </w:r>
      <w:r>
        <w:t xml:space="preserve"> </w:t>
      </w:r>
      <w:r>
        <w:t xml:space="preserve">these statements involves sampling error.</w:t>
      </w:r>
    </w:p>
    <w:p>
      <w:pPr>
        <w:pStyle w:val="BodyText"/>
        <w:jc w:val="both"/>
      </w:pPr>
      <w:r>
        <w:t xml:space="preserve">On the second question, naive split conformal under-covers on MIT-BIH relative</w:t>
      </w:r>
      <w:r>
        <w:t xml:space="preserve"> </w:t>
      </w:r>
      <w:r>
        <w:t xml:space="preserve">to a permutation null that preserves everything except within-record dependence</w:t>
      </w:r>
      <w:r>
        <w:t xml:space="preserve"> </w:t>
      </w:r>
      <w:r>
        <w:t xml:space="preserve">(Table VIII), and the factorial decomposition attributes the deficit to clustering</w:t>
      </w:r>
      <w:r>
        <w:t xml:space="preserve"> </w:t>
      </w:r>
      <w:r>
        <w:t xml:space="preserve">rather than to block-size imbalance (§8.3). The deficit scales with the design</w:t>
      </w:r>
      <w:r>
        <w:t xml:space="preserve"> </w:t>
      </w:r>
      <w:r>
        <w:t xml:space="preserve">effect (Fig. 5), and PTB-XL — where most patients contribute a single record —</w:t>
      </w:r>
      <w:r>
        <w:t xml:space="preserve"> </w:t>
      </w:r>
      <w:r>
        <w:t xml:space="preserve">shows none. The direction of this contrast is stable across a more than</w:t>
      </w:r>
      <w:r>
        <w:t xml:space="preserve"> </w:t>
      </w:r>
      <w:r>
        <w:t xml:space="preserve">hundredfold range of backbone capacity and across checkpoints; its statistical</w:t>
      </w:r>
      <w:r>
        <w:t xml:space="preserve"> </w:t>
      </w:r>
      <w:r>
        <w:t xml:space="preserve">strength is not (§8.5).</w:t>
      </w:r>
    </w:p>
    <w:bookmarkEnd w:id="70"/>
    <w:bookmarkStart w:id="71" w:name="X19dcde7a8f2c6b48ae58583d682d5b89a6ac27c"/>
    <w:p>
      <w:pPr>
        <w:pStyle w:val="Heading2"/>
      </w:pPr>
      <w:r>
        <w:t xml:space="preserve">9.2 Why a strongly correlated dataset can be harmless</w:t>
      </w:r>
    </w:p>
    <w:p>
      <w:pPr>
        <w:pStyle w:val="FirstParagraph"/>
        <w:jc w:val="both"/>
      </w:pPr>
      <w:r>
        <w:t xml:space="preserve">PTB-XL’s patient-level ICC of 0.35 is comparable to that of a MIT-BIH</w:t>
      </w:r>
      <w:r>
        <w:t xml:space="preserve"> </w:t>
      </w:r>
      <w:r>
        <w:t xml:space="preserve">configuration with a positive mean deficit, yet PTB-XL shows none. The resolution is</w:t>
      </w:r>
      <w:r>
        <w:t xml:space="preserve"> </w:t>
      </w:r>
      <w:r>
        <w:t xml:space="preserve">that dependence harms calibration only through repetition: with a harmonic mean</w:t>
      </w:r>
      <w:r>
        <w:t xml:space="preserve"> </w:t>
      </w:r>
      <w:r>
        <w:t xml:space="preserve">block size of</w:t>
      </w:r>
      <w:r>
        <w:t xml:space="preserve"> </w:t>
      </w:r>
      <m:oMath>
        <m:r>
          <m:t>H</m:t>
        </m:r>
        <m:r>
          <m:rPr>
            <m:sty m:val="p"/>
          </m:rPr>
          <m:t>=</m:t>
        </m:r>
        <m:r>
          <m:t>1.05</m:t>
        </m:r>
      </m:oMath>
      <w:r>
        <w:t xml:space="preserve">, the design effect</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whatever</w:t>
      </w:r>
      <w:r>
        <w:t xml:space="preserve"> </w:t>
      </w:r>
      <m:oMath>
        <m:r>
          <m:t>ρ</m:t>
        </m:r>
      </m:oMath>
      <w:r>
        <w:t xml:space="preserve"> </w:t>
      </w:r>
      <w:r>
        <w:t xml:space="preserve">is. A practitioner who measured the correlation alone would conclude that</w:t>
      </w:r>
      <w:r>
        <w:t xml:space="preserve"> </w:t>
      </w:r>
      <w:r>
        <w:t xml:space="preserve">PTB-XL requires block-level calibration; one who counted repeats would conclude,</w:t>
      </w:r>
      <w:r>
        <w:t xml:space="preserve"> </w:t>
      </w:r>
      <w:r>
        <w:t xml:space="preserve">correctly for marginal coverage at these levels, that it does not. The practical</w:t>
      </w:r>
      <w:r>
        <w:t xml:space="preserve"> </w:t>
      </w:r>
      <w:r>
        <w:t xml:space="preserve">reading is that two numbers must be reported together — how correlated</w:t>
      </w:r>
      <w:r>
        <w:t xml:space="preserve"> </w:t>
      </w:r>
      <w:r>
        <w:t xml:space="preserve">observations within a block are, and how many observations a typical block</w:t>
      </w:r>
      <w:r>
        <w:t xml:space="preserve"> </w:t>
      </w:r>
      <w:r>
        <w:t xml:space="preserve">contributes — and that neither is a property of the dataset alone:</w:t>
      </w:r>
      <w:r>
        <w:t xml:space="preserve"> </w:t>
      </w:r>
      <m:oMath>
        <m:sSub>
          <m:e>
            <m:r>
              <m:t>K</m:t>
            </m:r>
          </m:e>
          <m:sub>
            <m:r>
              <m:t>1</m:t>
            </m:r>
          </m:sub>
        </m:sSub>
      </m:oMath>
      <w:r>
        <w:t xml:space="preserve"> </w:t>
      </w:r>
      <w:r>
        <w:t xml:space="preserve">depends</w:t>
      </w:r>
      <w:r>
        <w:t xml:space="preserve"> </w:t>
      </w:r>
      <w:r>
        <w:t xml:space="preserve">on the split design, and</w:t>
      </w:r>
      <w:r>
        <w:t xml:space="preserve"> </w:t>
      </w:r>
      <m:oMath>
        <m:r>
          <m:t>ρ</m:t>
        </m:r>
      </m:oMath>
      <w:r>
        <w:t xml:space="preserve"> </w:t>
      </w:r>
      <w:r>
        <w:t xml:space="preserve">on the model producing the scores (§6.1).</w:t>
      </w:r>
    </w:p>
    <w:p>
      <w:pPr>
        <w:pStyle w:val="BodyText"/>
        <w:jc w:val="both"/>
      </w:pPr>
      <w:r>
        <w:t xml:space="preserve">We use the design effect only as an ordering axis. It is a heuristic under a</w:t>
      </w:r>
      <w:r>
        <w:t xml:space="preserve"> </w:t>
      </w:r>
      <w:r>
        <w:t xml:space="preserve">compound-symmetric model (§5.1), and a principled effective sample size for</w:t>
      </w:r>
      <w:r>
        <w:t xml:space="preserve"> </w:t>
      </w:r>
      <w:r>
        <w:t xml:space="preserve">thresholds under clustering has been derived separately [40]. The ordering is</w:t>
      </w:r>
      <w:r>
        <w:t xml:space="preserve"> </w:t>
      </w:r>
      <w:r>
        <w:t xml:space="preserve">what the dose–response analysis tests, and it holds on both raw-score and</w:t>
      </w:r>
      <w:r>
        <w:t xml:space="preserve"> </w:t>
      </w:r>
      <w:r>
        <w:t xml:space="preserve">indicator correlations (Table IX).</w:t>
      </w:r>
    </w:p>
    <w:bookmarkEnd w:id="71"/>
    <w:bookmarkStart w:id="72" w:name="X2082e78ae0f4c77c313456103384ade8026f359"/>
    <w:p>
      <w:pPr>
        <w:pStyle w:val="Heading2"/>
      </w:pPr>
      <w:r>
        <w:t xml:space="preserve">9.3 A pitfall in evaluating hierarchical conformal methods</w:t>
      </w:r>
    </w:p>
    <w:p>
      <w:pPr>
        <w:pStyle w:val="FirstParagraph"/>
        <w:jc w:val="both"/>
      </w:pPr>
      <w:r>
        <w:t xml:space="preserve">The most transferable lesson of the audit concerns evaluation rather than</w:t>
      </w:r>
      <w:r>
        <w:t xml:space="preserve"> </w:t>
      </w:r>
      <w:r>
        <w:t xml:space="preserve">ECG. Comparing HCP with naive split conformal on the same data appears to show</w:t>
      </w:r>
      <w:r>
        <w:t xml:space="preserve"> </w:t>
      </w:r>
      <w:r>
        <w:t xml:space="preserve">that HCP</w:t>
      </w:r>
      <w:r>
        <w:t xml:space="preserve"> </w:t>
      </w:r>
      <w:r>
        <w:t xml:space="preserve">“restores”</w:t>
      </w:r>
      <w:r>
        <w:t xml:space="preserve"> </w:t>
      </w:r>
      <w:r>
        <w:t xml:space="preserve">coverage. Our permutation control shows that 75–110% of that</w:t>
      </w:r>
      <w:r>
        <w:t xml:space="preserve"> </w:t>
      </w:r>
      <w:r>
        <w:t xml:space="preserve">gap survives when within-block dependence is destroyed (§8.3, §8.5). The finite</w:t>
      </w:r>
      <w:r>
        <w:t xml:space="preserve"> </w:t>
      </w:r>
      <w:r>
        <w:t xml:space="preserve">block correction places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and thereby forces HCP to a</w:t>
      </w:r>
      <w:r>
        <w:t xml:space="preserve"> </w:t>
      </w:r>
      <w:r>
        <w:t xml:space="preserve">higher empirical quantile whether or not the data are dependent. With small</w:t>
      </w:r>
      <w:r>
        <w:t xml:space="preserve"> </w:t>
      </w:r>
      <m:oMath>
        <m:sSub>
          <m:e>
            <m:r>
              <m:t>K</m:t>
            </m:r>
          </m:e>
          <m:sub>
            <m:r>
              <m:t>1</m:t>
            </m:r>
          </m:sub>
        </m:sSub>
      </m:oMath>
      <w:r>
        <w:t xml:space="preserve"> </w:t>
      </w:r>
      <w:r>
        <w:t xml:space="preserve">— exactly the regime in which block-level calibration matters — this</w:t>
      </w:r>
      <w:r>
        <w:t xml:space="preserve"> </w:t>
      </w:r>
      <w:r>
        <w:t xml:space="preserve">mechanical inflation dominates. Below</w:t>
      </w:r>
      <w:r>
        <w:t xml:space="preserve"> </w:t>
      </w:r>
      <m:oMath>
        <m:sSub>
          <m:e>
            <m:r>
              <m:t>α</m:t>
            </m:r>
          </m:e>
          <m:sub>
            <m:r>
              <m:rPr>
                <m:sty m:val="p"/>
              </m:rPr>
              <m:t>min</m:t>
            </m:r>
          </m:sub>
        </m:sSub>
      </m:oMath>
      <w:r>
        <w:t xml:space="preserve"> </w:t>
      </w:r>
      <w:r>
        <w:t xml:space="preserve">the comparison is</w:t>
      </w:r>
      <w:r>
        <w:t xml:space="preserve"> </w:t>
      </w:r>
      <w:r>
        <w:t xml:space="preserve">degenerate: HCP attains perfect coverage by returning every label (Fig. 4).</w:t>
      </w:r>
    </w:p>
    <w:p>
      <w:pPr>
        <w:pStyle w:val="BodyText"/>
        <w:jc w:val="both"/>
      </w:pPr>
      <w:r>
        <w:t xml:space="preserve">Two practices follow. A claim that a hierarchical method improves coverage should</w:t>
      </w:r>
      <w:r>
        <w:t xml:space="preserve"> </w:t>
      </w:r>
      <w:r>
        <w:t xml:space="preserve">be tested against a null that preserves block sizes and score marginals while</w:t>
      </w:r>
      <w:r>
        <w:t xml:space="preserve"> </w:t>
      </w:r>
      <w:r>
        <w:t xml:space="preserve">removing dependence, rather than against the naive baseline alone. And coverage</w:t>
      </w:r>
      <w:r>
        <w:t xml:space="preserve"> </w:t>
      </w:r>
      <w:r>
        <w:t xml:space="preserve">should always be reported jointly with set size, since abstention is the cheapest</w:t>
      </w:r>
      <w:r>
        <w:t xml:space="preserve"> </w:t>
      </w:r>
      <w:r>
        <w:t xml:space="preserve">way to cover.</w:t>
      </w:r>
    </w:p>
    <w:bookmarkEnd w:id="72"/>
    <w:bookmarkStart w:id="73" w:name="implications-for-clinical-ecg-studies"/>
    <w:p>
      <w:pPr>
        <w:pStyle w:val="Heading2"/>
      </w:pPr>
      <w:r>
        <w:t xml:space="preserve">9.4 Implications for clinical ECG studies</w:t>
      </w:r>
    </w:p>
    <w:p>
      <w:pPr>
        <w:pStyle w:val="FirstParagraph"/>
        <w:jc w:val="both"/>
      </w:pPr>
      <w:r>
        <w:t xml:space="preserve">For studies that intend to attach distribution-free guarantees to ECG</w:t>
      </w:r>
      <w:r>
        <w:t xml:space="preserve"> </w:t>
      </w:r>
      <w:r>
        <w:t xml:space="preserve">classifiers, the audit suggests a short checklist that can be completed before</w:t>
      </w:r>
      <w:r>
        <w:t xml:space="preserve"> </w:t>
      </w:r>
      <w:r>
        <w:t xml:space="preserve">data are collected or split:</w:t>
      </w:r>
    </w:p>
    <w:p>
      <w:pPr>
        <w:pStyle w:val="Compact"/>
        <w:numPr>
          <w:ilvl w:val="0"/>
          <w:numId w:val="1002"/>
        </w:numPr>
      </w:pPr>
      <w:r>
        <w:t xml:space="preserve">Declare dependence sources — patient, device, site, operator, monitoring</w:t>
      </w:r>
      <w:r>
        <w:t xml:space="preserve"> </w:t>
      </w:r>
      <w:r>
        <w:t xml:space="preserve">episode — and check whether each is documented in the metadata. Where it is</w:t>
      </w:r>
      <w:r>
        <w:t xml:space="preserve"> </w:t>
      </w:r>
      <w:r>
        <w:t xml:space="preserve">not, as for patient identity in the PhysioNet/CinC Challenge 2021 collection</w:t>
      </w:r>
      <w:r>
        <w:t xml:space="preserve"> </w:t>
      </w:r>
      <w:r>
        <w:t xml:space="preserve">(§6.4), the number of blocks becomes an assumption rather than a count.</w:t>
      </w:r>
    </w:p>
    <w:p>
      <w:pPr>
        <w:pStyle w:val="Compact"/>
        <w:numPr>
          <w:ilvl w:val="0"/>
          <w:numId w:val="1002"/>
        </w:numPr>
      </w:pPr>
      <w:r>
        <w:t xml:space="preserve">Count blocks, not records, in the calibration set, for the grouping that</w:t>
      </w:r>
      <w:r>
        <w:t xml:space="preserve"> </w:t>
      </w:r>
      <w:r>
        <w:t xml:space="preserve">respects every declared source, and compare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any label-conditional claim, and for</w:t>
      </w:r>
      <w:r>
        <w:t xml:space="preserve"> </w:t>
      </w:r>
      <w:r>
        <w:t xml:space="preserve">simultaneous claims across</w:t>
      </w:r>
      <w:r>
        <w:t xml:space="preserve"> </w:t>
      </w:r>
      <m:oMath>
        <m:r>
          <m:t>m</m:t>
        </m:r>
      </m:oMath>
      <w:r>
        <w:t xml:space="preserve"> </w:t>
      </w:r>
      <w:r>
        <w:t xml:space="preserve">labels use</w:t>
      </w:r>
      <w:r>
        <w:t xml:space="preserve"> </w:t>
      </w:r>
      <m:oMath>
        <m:r>
          <m:rPr>
            <m:sty m:val="p"/>
          </m:rPr>
          <m:t>⌈</m:t>
        </m:r>
        <m:r>
          <m:t>m</m:t>
        </m:r>
        <m:r>
          <m:rPr>
            <m:sty m:val="p"/>
          </m:rPr>
          <m:t>/</m:t>
        </m:r>
        <m:r>
          <m:t>α</m:t>
        </m:r>
        <m:r>
          <m:rPr>
            <m:sty m:val="p"/>
          </m:rPr>
          <m:t>⌉</m:t>
        </m:r>
        <m:r>
          <m:rPr>
            <m:sty m:val="p"/>
          </m:rPr>
          <m:t>−</m:t>
        </m:r>
        <m:r>
          <m:t>1</m:t>
        </m:r>
      </m:oMath>
      <w:r>
        <w:t xml:space="preserve">. Rare</w:t>
      </w:r>
      <w:r>
        <w:t xml:space="preserve"> </w:t>
      </w:r>
      <w:r>
        <w:t xml:space="preserve">diagnoses will typically fail first.</w:t>
      </w:r>
    </w:p>
    <w:p>
      <w:pPr>
        <w:pStyle w:val="Compact"/>
        <w:numPr>
          <w:ilvl w:val="0"/>
          <w:numId w:val="1002"/>
        </w:numPr>
      </w:pPr>
      <w:r>
        <w:t xml:space="preserve">Estimate the repetition — the harmonic mean block size — before deciding</w:t>
      </w:r>
      <w:r>
        <w:t xml:space="preserve"> </w:t>
      </w:r>
      <w:r>
        <w:t xml:space="preserve">whether block-level calibration is needed for marginal coverage.</w:t>
      </w:r>
    </w:p>
    <w:p>
      <w:pPr>
        <w:pStyle w:val="FirstParagraph"/>
        <w:jc w:val="both"/>
      </w:pPr>
      <w:r>
        <w:t xml:space="preserve">The same counting applies wherever conditional coverage is sought over groups of</w:t>
      </w:r>
      <w:r>
        <w:t xml:space="preserve"> </w:t>
      </w:r>
      <w:r>
        <w:t xml:space="preserve">patients. Group-conditional conformal prediction has been proposed to equalize</w:t>
      </w:r>
      <w:r>
        <w:t xml:space="preserve"> </w:t>
      </w:r>
      <w:r>
        <w:t xml:space="preserve">coverage across demographic groups [43]; when calibration must also respect</w:t>
      </w:r>
      <w:r>
        <w:t xml:space="preserve"> </w:t>
      </w:r>
      <w:r>
        <w:t xml:space="preserve">patient blocks, a group that contains few patients in calibration is bounded in</w:t>
      </w:r>
      <w:r>
        <w:t xml:space="preserve"> </w:t>
      </w:r>
      <w:r>
        <w:t xml:space="preserve">exactly the way rare labels are here. Conversely,</w:t>
      </w:r>
      <w:r>
        <w:t xml:space="preserve"> </w:t>
      </w:r>
      <w:r>
        <w:t xml:space="preserve">hierarchical healthcare settings with thousands of blocks, such as patients</w:t>
      </w:r>
      <w:r>
        <w:t xml:space="preserve"> </w:t>
      </w:r>
      <w:r>
        <w:t xml:space="preserve">nested in hospitals [36], sit far from the boundary, which is why the boundary is</w:t>
      </w:r>
      <w:r>
        <w:t xml:space="preserve"> </w:t>
      </w:r>
      <w:r>
        <w:t xml:space="preserve">easy to overlook.</w:t>
      </w:r>
    </w:p>
    <w:p>
      <w:pPr>
        <w:pStyle w:val="BodyText"/>
        <w:jc w:val="both"/>
      </w:pPr>
      <w:r>
        <w:t xml:space="preserve">The inter-patient protocol for heartbeat classification exists precisely to</w:t>
      </w:r>
      <w:r>
        <w:t xml:space="preserve"> </w:t>
      </w:r>
      <w:r>
        <w:t xml:space="preserve">prevent subject-level leakage between training and evaluation [30], [32], [31],</w:t>
      </w:r>
      <w:r>
        <w:t xml:space="preserve"> </w:t>
      </w:r>
      <w:r>
        <w:t xml:space="preserve">and the consequences of inter-patient, intra-patient and patient-specific</w:t>
      </w:r>
      <w:r>
        <w:t xml:space="preserve"> </w:t>
      </w:r>
      <w:r>
        <w:t xml:space="preserve">training regimes have been compared directly [44]. The present audit extends the</w:t>
      </w:r>
      <w:r>
        <w:t xml:space="preserve"> </w:t>
      </w:r>
      <w:r>
        <w:t xml:space="preserve">same concern one step further, from the training–evaluation boundary to the</w:t>
      </w:r>
      <w:r>
        <w:t xml:space="preserve"> </w:t>
      </w:r>
      <w:r>
        <w:t xml:space="preserve">calibration–test boundary: a split that is inter-patient for training purposes</w:t>
      </w:r>
      <w:r>
        <w:t xml:space="preserve"> </w:t>
      </w:r>
      <w:r>
        <w:t xml:space="preserve">can still leave too few subjects in calibration for the guarantee one intends to</w:t>
      </w:r>
      <w:r>
        <w:t xml:space="preserve"> </w:t>
      </w:r>
      <w:r>
        <w:t xml:space="preserve">report.</w:t>
      </w:r>
    </w:p>
    <w:bookmarkEnd w:id="73"/>
    <w:bookmarkStart w:id="74" w:name="relation-to-prior-work"/>
    <w:p>
      <w:pPr>
        <w:pStyle w:val="Heading2"/>
      </w:pPr>
      <w:r>
        <w:t xml:space="preserve">9.5 Relation to prior work</w:t>
      </w:r>
    </w:p>
    <w:p>
      <w:pPr>
        <w:pStyle w:val="FirstParagraph"/>
        <w:jc w:val="both"/>
      </w:pPr>
      <w:r>
        <w:t xml:space="preserve">Lee et al. identify the trade-off between many small groups and few large groups</w:t>
      </w:r>
      <w:r>
        <w:t xml:space="preserve"> </w:t>
      </w:r>
      <w:r>
        <w:t xml:space="preserve">as an open question for study design in this setting [13]. Our results address</w:t>
      </w:r>
      <w:r>
        <w:t xml:space="preserve"> </w:t>
      </w:r>
      <w:r>
        <w:t xml:space="preserve">its most elementary part: whether a finite threshold exists at all, which depends</w:t>
      </w:r>
      <w:r>
        <w:t xml:space="preserve"> </w:t>
      </w:r>
      <w:r>
        <w:t xml:space="preserve">on the number of groups alone (Proposition 1), and when the number of repeats</w:t>
      </w:r>
      <w:r>
        <w:t xml:space="preserve"> </w:t>
      </w:r>
      <w:r>
        <w:t xml:space="preserve">starts to matter for coverage, which depends on the design effect (§8.4). In the</w:t>
      </w:r>
      <w:r>
        <w:t xml:space="preserve"> </w:t>
      </w:r>
      <w:r>
        <w:t xml:space="preserve">exchangeable case, the distribution of empirical coverage of split conformal</w:t>
      </w:r>
      <w:r>
        <w:t xml:space="preserve"> </w:t>
      </w:r>
      <w:r>
        <w:t xml:space="preserve">prediction is universal and depends only on the miscoverage level and the</w:t>
      </w:r>
      <w:r>
        <w:t xml:space="preserve"> </w:t>
      </w:r>
      <w:r>
        <w:t xml:space="preserve">calibration size, which yields a criterion for the minimum calibration size [45].</w:t>
      </w:r>
      <w:r>
        <w:t xml:space="preserve"> </w:t>
      </w:r>
      <w:r>
        <w:t xml:space="preserve">Our feasibility bound plays the analogous role under hierarchical dependence,</w:t>
      </w:r>
      <w:r>
        <w:t xml:space="preserve"> </w:t>
      </w:r>
      <w:r>
        <w:t xml:space="preserve">with the number of calibration blocks in place of the number of calibration</w:t>
      </w:r>
      <w:r>
        <w:t xml:space="preserve"> </w:t>
      </w:r>
      <w:r>
        <w:t xml:space="preserve">points. Class-conditional calibration is known to be starved by rare classes</w:t>
      </w:r>
      <w:r>
        <w:t xml:space="preserve"> </w:t>
      </w:r>
      <w:r>
        <w:t xml:space="preserve">under exchangeability [42]; under block dependence the unit that must be counted</w:t>
      </w:r>
      <w:r>
        <w:t xml:space="preserve"> </w:t>
      </w:r>
      <w:r>
        <w:t xml:space="preserve">becomes the number of blocks carrying the class, and the condition we state is</w:t>
      </w:r>
      <w:r>
        <w:t xml:space="preserve"> </w:t>
      </w:r>
      <w:r>
        <w:t xml:space="preserve">necessary but not sufficient (§5.3).</w:t>
      </w:r>
    </w:p>
    <w:p>
      <w:pPr>
        <w:pStyle w:val="BodyText"/>
        <w:jc w:val="both"/>
      </w:pPr>
      <w:r>
        <w:t xml:space="preserve">Our findings converge with those of Sim and Kim for ECG false-alarm control [11]:</w:t>
      </w:r>
      <w:r>
        <w:t xml:space="preserve"> </w:t>
      </w:r>
      <w:r>
        <w:t xml:space="preserve">in both settings the guarantee is carried by subjects rather than by beats, and</w:t>
      </w:r>
      <w:r>
        <w:t xml:space="preserve"> </w:t>
      </w:r>
      <w:r>
        <w:t xml:space="preserve">too few calibration subjects break it. The present audit differs in what it</w:t>
      </w:r>
      <w:r>
        <w:t xml:space="preserve"> </w:t>
      </w:r>
      <w:r>
        <w:t xml:space="preserve">counts and how it attributes the effect. It counts blocks under crossed</w:t>
      </w:r>
      <w:r>
        <w:t xml:space="preserve"> </w:t>
      </w:r>
      <w:r>
        <w:t xml:space="preserve">dependence sources and per diagnostic label, and it separates dependence from</w:t>
      </w:r>
      <w:r>
        <w:t xml:space="preserve"> </w:t>
      </w:r>
      <w:r>
        <w:t xml:space="preserve">block-size imbalance and from the mechanical effect of the finite-block</w:t>
      </w:r>
      <w:r>
        <w:t xml:space="preserve"> </w:t>
      </w:r>
      <w:r>
        <w:t xml:space="preserve">correction, using a matched permutation null and a factorial design. Evidence</w:t>
      </w:r>
      <w:r>
        <w:t xml:space="preserve"> </w:t>
      </w:r>
      <w:r>
        <w:t xml:space="preserve">that marginal coverage can mask per-class and per-patient failures in cardiac</w:t>
      </w:r>
      <w:r>
        <w:t xml:space="preserve"> </w:t>
      </w:r>
      <w:r>
        <w:t xml:space="preserve">monitoring [10] is consistent with the label-level boundary of §8.1.</w:t>
      </w:r>
    </w:p>
    <w:p>
      <w:pPr>
        <w:pStyle w:val="BodyText"/>
        <w:jc w:val="both"/>
      </w:pPr>
      <w:r>
        <w:t xml:space="preserve">Risk-control extensions of conformal prediction [34], [46] and its time-series</w:t>
      </w:r>
      <w:r>
        <w:t xml:space="preserve"> </w:t>
      </w:r>
      <w:r>
        <w:t xml:space="preserve">variants [35] rest on related exchangeability or stationarity assumptions.</w:t>
      </w:r>
      <w:r>
        <w:t xml:space="preserve"> </w:t>
      </w:r>
      <w:r>
        <w:t xml:space="preserve">Whether their block-level counterparts are subject to the same feasibility</w:t>
      </w:r>
      <w:r>
        <w:t xml:space="preserve"> </w:t>
      </w:r>
      <w:r>
        <w:t xml:space="preserve">boundary is a natural question that we do not address.</w:t>
      </w:r>
    </w:p>
    <w:bookmarkEnd w:id="74"/>
    <w:bookmarkStart w:id="75" w:name="what-this-study-does-not-establish"/>
    <w:p>
      <w:pPr>
        <w:pStyle w:val="Heading2"/>
      </w:pPr>
      <w:r>
        <w:t xml:space="preserve">9.6 What this study does not establish</w:t>
      </w:r>
    </w:p>
    <w:p>
      <w:pPr>
        <w:pStyle w:val="FirstParagraph"/>
        <w:jc w:val="both"/>
      </w:pPr>
      <w:r>
        <w:t xml:space="preserve">The audit concerns marginal and label-wise coverage of a single method family,</w:t>
      </w:r>
      <w:r>
        <w:t xml:space="preserve"> </w:t>
      </w:r>
      <w:r>
        <w:t xml:space="preserve">and several conclusions should not be drawn from it. It does not establish that</w:t>
      </w:r>
      <w:r>
        <w:t xml:space="preserve"> </w:t>
      </w:r>
      <w:r>
        <w:t xml:space="preserve">every block-level conformal procedure shares the feasibility boundary of HCP</w:t>
      </w:r>
      <w:r>
        <w:t xml:space="preserve"> </w:t>
      </w:r>
      <w:r>
        <w:t xml:space="preserve">(Corollary 2.2 is proved for the HCP/Dunn family only). It does not establish</w:t>
      </w:r>
      <w:r>
        <w:t xml:space="preserve"> </w:t>
      </w:r>
      <w:r>
        <w:t xml:space="preserve">that the dependence sources declared for PTB-XL are the true ones; the collapse</w:t>
      </w:r>
      <w:r>
        <w:t xml:space="preserve"> </w:t>
      </w:r>
      <w:r>
        <w:t xml:space="preserve">of the join is conditional on that declaration. It does not establish that the</w:t>
      </w:r>
      <w:r>
        <w:t xml:space="preserve"> </w:t>
      </w:r>
      <w:r>
        <w:t xml:space="preserve">design effect is a sufficient statistic for coverage loss; it is used as an</w:t>
      </w:r>
      <w:r>
        <w:t xml:space="preserve"> </w:t>
      </w:r>
      <w:r>
        <w:t xml:space="preserve">ordering axis, and the dose–response gradient is controlled within one dataset.</w:t>
      </w:r>
      <w:r>
        <w:t xml:space="preserve"> </w:t>
      </w:r>
      <w:r>
        <w:t xml:space="preserve">It does not compare hierarchical constructions with one another [14], does not</w:t>
      </w:r>
      <w:r>
        <w:t xml:space="preserve"> </w:t>
      </w:r>
      <w:r>
        <w:t xml:space="preserve">address temporal dependence within a patient across visits, and does not</w:t>
      </w:r>
      <w:r>
        <w:t xml:space="preserve"> </w:t>
      </w:r>
      <w:r>
        <w:t xml:space="preserve">establish significance of the MIT-BIH deficit for every backbone. Post hoc</w:t>
      </w:r>
      <w:r>
        <w:t xml:space="preserve"> </w:t>
      </w:r>
      <w:r>
        <w:t xml:space="preserve">explanation of what ECG networks learn [47] and benchmark discrimination [1]</w:t>
      </w:r>
      <w:r>
        <w:t xml:space="preserve"> </w:t>
      </w:r>
      <w:r>
        <w:t xml:space="preserve">are orthogonal to the question asked here: a highly accurate model calibrated on</w:t>
      </w:r>
      <w:r>
        <w:t xml:space="preserve"> </w:t>
      </w:r>
      <w:r>
        <w:t xml:space="preserve">too few blocks remains without a guarantee. The threats to validity of each</w:t>
      </w:r>
      <w:r>
        <w:t xml:space="preserve"> </w:t>
      </w:r>
      <w:r>
        <w:t xml:space="preserve">result are detailed in §10.</w:t>
      </w:r>
    </w:p>
    <w:bookmarkEnd w:id="75"/>
    <w:bookmarkEnd w:id="76"/>
    <w:bookmarkStart w:id="83" w:name="threats-to-validity"/>
    <w:p>
      <w:pPr>
        <w:pStyle w:val="Heading1"/>
      </w:pPr>
      <w:r>
        <w:t xml:space="preserve">10. Threats to Validity</w:t>
      </w:r>
    </w:p>
    <w:bookmarkStart w:id="77" w:name="internal-validity"/>
    <w:p>
      <w:pPr>
        <w:pStyle w:val="Heading2"/>
      </w:pPr>
      <w:r>
        <w:t xml:space="preserve">10.1 Internal validity</w:t>
      </w:r>
    </w:p>
    <w:p>
      <w:pPr>
        <w:pStyle w:val="FirstParagraph"/>
        <w:jc w:val="both"/>
      </w:pPr>
      <w:r>
        <w:rPr>
          <w:b/>
          <w:bCs/>
        </w:rPr>
        <w:t xml:space="preserve">Label provenance.</w:t>
      </w:r>
      <w:r>
        <w:t xml:space="preserve"> </w:t>
      </w:r>
      <w:r>
        <w:t xml:space="preserve">Only 64–68% of PTB-XL records in folds 1–8 were validated</w:t>
      </w:r>
      <w:r>
        <w:t xml:space="preserve"> </w:t>
      </w:r>
      <w:r>
        <w:t xml:space="preserve">by a cardiologist, against 100% in folds 9 and 10. An early version of the study</w:t>
      </w:r>
      <w:r>
        <w:t xml:space="preserve"> </w:t>
      </w:r>
      <w:r>
        <w:t xml:space="preserve">calibrated on fold 8 and evaluated on fold 9 and found an apparent 1.43</w:t>
      </w:r>
      <w:r>
        <w:t xml:space="preserve"> </w:t>
      </w:r>
      <w:r>
        <w:t xml:space="preserve">percentage-point deficit at</w:t>
      </w:r>
      <w:r>
        <w:t xml:space="preserve"> </w:t>
      </w:r>
      <m:oMath>
        <m:r>
          <m:t>α</m:t>
        </m:r>
        <m:r>
          <m:rPr>
            <m:sty m:val="p"/>
          </m:rPr>
          <m:t>=</m:t>
        </m:r>
        <m:r>
          <m:t>0.05</m:t>
        </m:r>
      </m:oMath>
      <w:r>
        <w:t xml:space="preserve">; it was an artifact of label-quality</w:t>
      </w:r>
      <w:r>
        <w:t xml:space="preserve"> </w:t>
      </w:r>
      <w:r>
        <w:t xml:space="preserve">shift between folds, not of block dependence. All confirmatory analyses therefore</w:t>
      </w:r>
      <w:r>
        <w:t xml:space="preserve"> </w:t>
      </w:r>
      <w:r>
        <w:t xml:space="preserve">use fold 9, and fold 10 has not been examined.</w:t>
      </w:r>
    </w:p>
    <w:p>
      <w:pPr>
        <w:pStyle w:val="BodyText"/>
        <w:jc w:val="both"/>
      </w:pPr>
      <w:r>
        <w:rPr>
          <w:b/>
          <w:bCs/>
        </w:rPr>
        <w:t xml:space="preserve">Data handling.</w:t>
      </w:r>
      <w:r>
        <w:t xml:space="preserve"> </w:t>
      </w:r>
      <w:r>
        <w:t xml:space="preserve">Each data-handling decision of §6.2–6.3 guards against a</w:t>
      </w:r>
      <w:r>
        <w:t xml:space="preserve"> </w:t>
      </w:r>
      <w:r>
        <w:t xml:space="preserve">failure mode that raises no error: the 411 PTB-XL records without a diagnostic</w:t>
      </w:r>
      <w:r>
        <w:t xml:space="preserve"> </w:t>
      </w:r>
      <w:r>
        <w:t xml:space="preserve">superclass are excluded rather than given a default label; the MIT-BIH lead is</w:t>
      </w:r>
      <w:r>
        <w:t xml:space="preserve"> </w:t>
      </w:r>
      <w:r>
        <w:t xml:space="preserve">selected by name because record 114 stores its channels in reverse order; beats</w:t>
      </w:r>
      <w:r>
        <w:t xml:space="preserve"> </w:t>
      </w:r>
      <w:r>
        <w:t xml:space="preserve">too close to a record boundary are dropped rather than zero-padded; and the</w:t>
      </w:r>
      <w:r>
        <w:t xml:space="preserve"> </w:t>
      </w:r>
      <w:r>
        <w:t xml:space="preserve">subject shared by records 201 and 202 across DS1 and DS2 is retained for</w:t>
      </w:r>
      <w:r>
        <w:t xml:space="preserve"> </w:t>
      </w:r>
      <w:r>
        <w:t xml:space="preserve">comparability and stated. All preprocessing is fitted on training data only.</w:t>
      </w:r>
    </w:p>
    <w:bookmarkEnd w:id="77"/>
    <w:bookmarkStart w:id="78" w:name="construct-validity"/>
    <w:p>
      <w:pPr>
        <w:pStyle w:val="Heading2"/>
      </w:pPr>
      <w:r>
        <w:t xml:space="preserve">10.2 Construct validity</w:t>
      </w:r>
    </w:p>
    <w:p>
      <w:pPr>
        <w:pStyle w:val="FirstParagraph"/>
        <w:jc w:val="both"/>
      </w:pPr>
      <w:r>
        <w:rPr>
          <w:b/>
          <w:bCs/>
        </w:rPr>
        <w:t xml:space="preserve">Degenerate class.</w:t>
      </w:r>
      <w:r>
        <w:t xml:space="preserve"> </w:t>
      </w:r>
      <w:r>
        <w:t xml:space="preserve">MIT-BIH class Q has 15 beats in total, of which 7 lie in</w:t>
      </w:r>
      <w:r>
        <w:t xml:space="preserve"> </w:t>
      </w:r>
      <w:r>
        <w:t xml:space="preserve">just two evaluation records. Per-class statistics for Q are uninterpretable; we report</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so that the boundary is visible</w:t>
      </w:r>
      <w:r>
        <w:t xml:space="preserve"> </w:t>
      </w:r>
      <w:r>
        <w:t xml:space="preserve">rather than averaged away.</w:t>
      </w:r>
    </w:p>
    <w:p>
      <w:pPr>
        <w:pStyle w:val="BodyText"/>
        <w:jc w:val="both"/>
      </w:pPr>
      <w:r>
        <w:rPr>
          <w:b/>
          <w:bCs/>
        </w:rPr>
        <w:t xml:space="preserve">Model quality.</w:t>
      </w:r>
      <w:r>
        <w:t xml:space="preserve"> </w:t>
      </w:r>
      <w:r>
        <w:t xml:space="preserve">Conformal guarantees are model-agnostic: a weak model widens</w:t>
      </w:r>
      <w:r>
        <w:t xml:space="preserve"> </w:t>
      </w:r>
      <w:r>
        <w:t xml:space="preserve">prediction sets without reducing coverage. Our primary backbones are below</w:t>
      </w:r>
      <w:r>
        <w:t xml:space="preserve"> </w:t>
      </w:r>
      <w:r>
        <w:t xml:space="preserve">published PTB-XL benchmarks [1] and weak on MIT-BIH minority classes (balanced</w:t>
      </w:r>
      <w:r>
        <w:t xml:space="preserve"> </w:t>
      </w:r>
      <w:r>
        <w:t xml:space="preserve">accuracy 0.37–0.38 for all three backbones). Their discrimination therefore bears</w:t>
      </w:r>
      <w:r>
        <w:t xml:space="preserve"> </w:t>
      </w:r>
      <w:r>
        <w:t xml:space="preserve">on set size, not on the coverage findings — a reading we tested rather than</w:t>
      </w:r>
      <w:r>
        <w:t xml:space="preserve"> </w:t>
      </w:r>
      <w:r>
        <w:t xml:space="preserve">assumed, by repeating every audit on two larger residual networks (§8.5).</w:t>
      </w:r>
    </w:p>
    <w:p>
      <w:pPr>
        <w:pStyle w:val="BodyText"/>
        <w:jc w:val="both"/>
      </w:pPr>
      <w:r>
        <w:rPr>
          <w:b/>
          <w:bCs/>
        </w:rPr>
        <w:t xml:space="preserve">Checkpoint selection.</w:t>
      </w:r>
      <w:r>
        <w:t xml:space="preserve"> </w:t>
      </w:r>
      <w:r>
        <w:t xml:space="preserve">The MIT-BIH validation set holds 4 records, and early</w:t>
      </w:r>
      <w:r>
        <w:t xml:space="preserve"> </w:t>
      </w:r>
      <w:r>
        <w:t xml:space="preserve">stopping selected epoch 1 for ResNet1D-50. The pre-registered last-epoch</w:t>
      </w:r>
      <w:r>
        <w:t xml:space="preserve"> </w:t>
      </w:r>
      <w:r>
        <w:t xml:space="preserve">sensitivity analysis (§8.5) preserved the sign of every deficit and every</w:t>
      </w:r>
      <w:r>
        <w:t xml:space="preserve"> </w:t>
      </w:r>
      <m:oMath>
        <m:sSub>
          <m:e>
            <m:r>
              <m:t>K</m:t>
            </m:r>
          </m:e>
          <m:sub>
            <m:r>
              <m:t>1</m:t>
            </m:r>
          </m:sub>
        </m:sSub>
      </m:oMath>
      <w:r>
        <w:t xml:space="preserve">,</w:t>
      </w:r>
      <w:r>
        <w:t xml:space="preserve"> </w:t>
      </w:r>
      <w:r>
        <w:t xml:space="preserve">but not its magnitude, which we therefore do not interpret across backbones.</w:t>
      </w:r>
    </w:p>
    <w:bookmarkEnd w:id="78"/>
    <w:bookmarkStart w:id="79" w:name="external-validity"/>
    <w:p>
      <w:pPr>
        <w:pStyle w:val="Heading2"/>
      </w:pPr>
      <w:r>
        <w:t xml:space="preserve">10.3 External validity</w:t>
      </w:r>
    </w:p>
    <w:p>
      <w:pPr>
        <w:pStyle w:val="FirstParagraph"/>
        <w:jc w:val="both"/>
      </w:pPr>
      <w:r>
        <w:rPr>
          <w:b/>
          <w:bCs/>
        </w:rPr>
        <w:t xml:space="preserve">Single institution.</w:t>
      </w:r>
      <w:r>
        <w:t xml:space="preserve"> </w:t>
      </w:r>
      <w:r>
        <w:t xml:space="preserve">PTB-XL was recorded at one institution between 1989 and</w:t>
      </w:r>
      <w:r>
        <w:t xml:space="preserve"> </w:t>
      </w:r>
      <w:r>
        <w:t xml:space="preserve">1996. Its device, nurse and site metadata are what make the block analysis</w:t>
      </w:r>
      <w:r>
        <w:t xml:space="preserve"> </w:t>
      </w:r>
      <w:r>
        <w:t xml:space="preserve">possible, but its estimates of</w:t>
      </w:r>
      <w:r>
        <w:t xml:space="preserve"> </w:t>
      </w:r>
      <m:oMath>
        <m:r>
          <m:t>ρ</m:t>
        </m:r>
      </m:oMath>
      <w:r>
        <w:t xml:space="preserve"> </w:t>
      </w:r>
      <w:r>
        <w:t xml:space="preserve">and</w:t>
      </w:r>
      <w:r>
        <w:t xml:space="preserve"> </w:t>
      </w:r>
      <m:oMath>
        <m:r>
          <m:t>H</m:t>
        </m:r>
      </m:oMath>
      <w:r>
        <w:t xml:space="preserve"> </w:t>
      </w:r>
      <w:r>
        <w:t xml:space="preserve">need not transfer to contemporary</w:t>
      </w:r>
      <w:r>
        <w:t xml:space="preserve"> </w:t>
      </w:r>
      <w:r>
        <w:t xml:space="preserve">multi-center cohorts.</w:t>
      </w:r>
    </w:p>
    <w:p>
      <w:pPr>
        <w:pStyle w:val="BodyText"/>
        <w:jc w:val="both"/>
      </w:pPr>
      <w:r>
        <w:rPr>
          <w:b/>
          <w:bCs/>
        </w:rPr>
        <w:t xml:space="preserve">One gradient, one external point.</w:t>
      </w:r>
      <w:r>
        <w:t xml:space="preserve"> </w:t>
      </w:r>
      <w:r>
        <w:t xml:space="preserve">Eleven of the twelve points in the</w:t>
      </w:r>
      <w:r>
        <w:t xml:space="preserve"> </w:t>
      </w:r>
      <w:r>
        <w:t xml:space="preserve">dose–response analysis are synthetic configurations of MIT-BIH obtained by</w:t>
      </w:r>
      <w:r>
        <w:t xml:space="preserve"> </w:t>
      </w:r>
      <w:r>
        <w:t xml:space="preserve">reassigning beats between records; the twelfth is PTB-XL. The combined</w:t>
      </w:r>
      <w:r>
        <w:t xml:space="preserve"> </w:t>
      </w:r>
      <w:r>
        <w:t xml:space="preserve">correlation is therefore driven by the internal gradient, which is an</w:t>
      </w:r>
      <w:r>
        <w:t xml:space="preserve"> </w:t>
      </w:r>
      <w:r>
        <w:t xml:space="preserve">intervention rather than an observation of naturally differing cohorts. PTB-XL</w:t>
      </w:r>
      <w:r>
        <w:t xml:space="preserve"> </w:t>
      </w:r>
      <w:r>
        <w:t xml:space="preserve">serves as a prediction check — a different modality, task and block type that</w:t>
      </w:r>
      <w:r>
        <w:t xml:space="preserve"> </w:t>
      </w:r>
      <w:r>
        <w:t xml:space="preserve">lands where the design effect predicts — and we claim no more than that.</w:t>
      </w:r>
    </w:p>
    <w:p>
      <w:pPr>
        <w:pStyle w:val="BodyText"/>
        <w:jc w:val="both"/>
      </w:pPr>
      <w:r>
        <w:rPr>
          <w:b/>
          <w:bCs/>
        </w:rPr>
        <w:t xml:space="preserve">Fixed evaluation subjects.</w:t>
      </w:r>
      <w:r>
        <w:t xml:space="preserve"> </w:t>
      </w:r>
      <w:r>
        <w:t xml:space="preserve">All MIT-BIH intervals derive from repeated splits</w:t>
      </w:r>
      <w:r>
        <w:t xml:space="preserve"> </w:t>
      </w:r>
      <w:r>
        <w:t xml:space="preserve">of the same 22 DS2 records. They quantify variability across splits, not across</w:t>
      </w:r>
      <w:r>
        <w:t xml:space="preserve"> </w:t>
      </w:r>
      <w:r>
        <w:t xml:space="preserve">the population of patients.</w:t>
      </w:r>
    </w:p>
    <w:p>
      <w:pPr>
        <w:pStyle w:val="BodyText"/>
        <w:jc w:val="both"/>
      </w:pPr>
      <w:r>
        <w:rPr>
          <w:b/>
          <w:bCs/>
        </w:rPr>
        <w:t xml:space="preserve">Domain.</w:t>
      </w:r>
      <w:r>
        <w:t xml:space="preserve"> </w:t>
      </w:r>
      <w:r>
        <w:t xml:space="preserve">All results concern ECG. Other clinical signals with repeated</w:t>
      </w:r>
      <w:r>
        <w:t xml:space="preserve"> </w:t>
      </w:r>
      <w:r>
        <w:t xml:space="preserve">measurements are plausible candidates for the same analysis but are not</w:t>
      </w:r>
      <w:r>
        <w:t xml:space="preserve"> </w:t>
      </w:r>
      <w:r>
        <w:t xml:space="preserve">examined.</w:t>
      </w:r>
    </w:p>
    <w:bookmarkEnd w:id="79"/>
    <w:bookmarkStart w:id="80" w:name="statistical-conclusion-validity"/>
    <w:p>
      <w:pPr>
        <w:pStyle w:val="Heading2"/>
      </w:pPr>
      <w:r>
        <w:t xml:space="preserve">10.4 Statistical conclusion validity</w:t>
      </w:r>
    </w:p>
    <w:p>
      <w:pPr>
        <w:pStyle w:val="FirstParagraph"/>
        <w:jc w:val="both"/>
      </w:pPr>
      <w:r>
        <w:rPr>
          <w:b/>
          <w:bCs/>
        </w:rPr>
        <w:t xml:space="preserve">Per-configuration deficits.</w:t>
      </w:r>
      <w:r>
        <w:t xml:space="preserve"> </w:t>
      </w:r>
      <w:r>
        <w:t xml:space="preserve">No single split, and no single dose–response</w:t>
      </w:r>
      <w:r>
        <w:t xml:space="preserve"> </w:t>
      </w:r>
      <w:r>
        <w:t xml:space="preserve">point, establishes a deficit: split-to-split ranges contain</w:t>
      </w:r>
      <w:r>
        <w:t xml:space="preserve"> </w:t>
      </w:r>
      <m:oMath>
        <m:r>
          <m:t>1</m:t>
        </m:r>
        <m:r>
          <m:rPr>
            <m:sty m:val="p"/>
          </m:rPr>
          <m:t>−</m:t>
        </m:r>
        <m:r>
          <m:t>α</m:t>
        </m:r>
      </m:oMath>
      <w:r>
        <w:t xml:space="preserve"> </w:t>
      </w:r>
      <w:r>
        <w:t xml:space="preserve">in every</w:t>
      </w:r>
      <w:r>
        <w:t xml:space="preserve"> </w:t>
      </w:r>
      <w:r>
        <w:t xml:space="preserve">MIT-BIH cell (Table VII), and every per-point interval in the dose–response</w:t>
      </w:r>
      <w:r>
        <w:t xml:space="preserve"> </w:t>
      </w:r>
      <w:r>
        <w:t xml:space="preserve">analysis contains zero. The evidence rests on the comparison with a permutation</w:t>
      </w:r>
      <w:r>
        <w:t xml:space="preserve"> </w:t>
      </w:r>
      <w:r>
        <w:t xml:space="preserve">null and on the monotone trend, which are what the pre-registered tests address.</w:t>
      </w:r>
    </w:p>
    <w:p>
      <w:pPr>
        <w:pStyle w:val="BodyText"/>
        <w:jc w:val="both"/>
      </w:pPr>
      <w:r>
        <w:rPr>
          <w:b/>
          <w:bCs/>
        </w:rPr>
        <w:t xml:space="preserve">Strength across backbones.</w:t>
      </w:r>
      <w:r>
        <w:t xml:space="preserve"> </w:t>
      </w:r>
      <w:r>
        <w:t xml:space="preserve">After Holm correction the deficit against the</w:t>
      </w:r>
      <w:r>
        <w:t xml:space="preserve"> </w:t>
      </w:r>
      <w:r>
        <w:t xml:space="preserve">permutation null is significant at every level for two of three backbones and at</w:t>
      </w:r>
      <w:r>
        <w:t xml:space="preserve"> </w:t>
      </w:r>
      <w:r>
        <w:t xml:space="preserve">none for ResNet1D-34 (Table VIII). The pre-registered criterion fails for that</w:t>
      </w:r>
      <w:r>
        <w:t xml:space="preserve"> </w:t>
      </w:r>
      <w:r>
        <w:t xml:space="preserve">backbone, and we claim invariance of direction only.</w:t>
      </w:r>
    </w:p>
    <w:p>
      <w:pPr>
        <w:pStyle w:val="BodyText"/>
        <w:jc w:val="both"/>
      </w:pPr>
      <w:r>
        <w:rPr>
          <w:b/>
          <w:bCs/>
        </w:rPr>
        <w:t xml:space="preserve">Coverage and set size.</w:t>
      </w:r>
      <w:r>
        <w:t xml:space="preserve"> </w:t>
      </w:r>
      <w:r>
        <w:t xml:space="preserve">Coverage alone overstates HCP: at</w:t>
      </w:r>
      <w:r>
        <w:t xml:space="preserve"> </w:t>
      </w:r>
      <m:oMath>
        <m:r>
          <m:t>α</m:t>
        </m:r>
        <m:r>
          <m:rPr>
            <m:sty m:val="p"/>
          </m:rPr>
          <m:t>=</m:t>
        </m:r>
        <m:r>
          <m:t>0.10</m:t>
        </m:r>
      </m:oMath>
      <w:r>
        <w:t xml:space="preserve"> </w:t>
      </w:r>
      <w:r>
        <w:t xml:space="preserve">on</w:t>
      </w:r>
      <w:r>
        <w:t xml:space="preserve"> </w:t>
      </w:r>
      <w:r>
        <w:t xml:space="preserve">MIT-BIH its coverage of 0.9615 is obtained with 2.43 of 5 labels per beat, and</w:t>
      </w:r>
      <w:r>
        <w:t xml:space="preserve"> </w:t>
      </w:r>
      <w:r>
        <w:t xml:space="preserve">below</w:t>
      </w:r>
      <w:r>
        <w:t xml:space="preserve"> </w:t>
      </w:r>
      <m:oMath>
        <m:sSub>
          <m:e>
            <m:r>
              <m:t>α</m:t>
            </m:r>
          </m:e>
          <m:sub>
            <m:r>
              <m:rPr>
                <m:sty m:val="p"/>
              </m:rPr>
              <m:t>min</m:t>
            </m:r>
          </m:sub>
        </m:sSub>
      </m:oMath>
      <w:r>
        <w:t xml:space="preserve"> </w:t>
      </w:r>
      <w:r>
        <w:t xml:space="preserve">it covers by abstaining. We report both quantities</w:t>
      </w:r>
      <w:r>
        <w:t xml:space="preserve"> </w:t>
      </w:r>
      <w:r>
        <w:t xml:space="preserve">throughout.</w:t>
      </w:r>
    </w:p>
    <w:p>
      <w:pPr>
        <w:pStyle w:val="BodyText"/>
        <w:jc w:val="both"/>
      </w:pPr>
      <w:r>
        <w:rPr>
          <w:b/>
          <w:bCs/>
        </w:rPr>
        <w:t xml:space="preserve">Withdrawn and replaced criteria.</w:t>
      </w:r>
      <w:r>
        <w:t xml:space="preserve"> </w:t>
      </w:r>
      <w:r>
        <w:t xml:space="preserve">Two pre-registered criteria did not survive.</w:t>
      </w:r>
      <w:r>
        <w:t xml:space="preserve"> </w:t>
      </w:r>
      <w:r>
        <w:t xml:space="preserve">The comparison</w:t>
      </w:r>
      <w:r>
        <w:t xml:space="preserve"> </w:t>
      </w:r>
      <w:r>
        <w:t xml:space="preserve">“HCP covers better than split conformal”</w:t>
      </w:r>
      <w:r>
        <w:t xml:space="preserve"> </w:t>
      </w:r>
      <w:r>
        <w:t xml:space="preserve">was withdrawn because</w:t>
      </w:r>
      <w:r>
        <w:t xml:space="preserve"> </w:t>
      </w:r>
      <w:r>
        <w:t xml:space="preserve">the permutation control showed it to be largely mechanical (§8.3). A Spearman</w:t>
      </w:r>
      <w:r>
        <w:t xml:space="preserve"> </w:t>
      </w:r>
      <w:r>
        <w:t xml:space="preserve">test across datasets could not be executed as written, because with two datasets</w:t>
      </w:r>
      <w:r>
        <w:t xml:space="preserve"> </w:t>
      </w:r>
      <w:r>
        <w:t xml:space="preserve">the rank correlation takes only the values</w:t>
      </w:r>
      <w:r>
        <w:t xml:space="preserve"> </w:t>
      </w:r>
      <m:oMath>
        <m:r>
          <m:rPr>
            <m:sty m:val="p"/>
          </m:rPr>
          <m:t>±</m:t>
        </m:r>
        <m:r>
          <m:t>1</m:t>
        </m:r>
      </m:oMath>
      <w:r>
        <w:t xml:space="preserve">; it was replaced by a test over</w:t>
      </w:r>
      <w:r>
        <w:t xml:space="preserve"> </w:t>
      </w:r>
      <w:r>
        <w:t xml:space="preserve">design-effect points within MIT-BIH. Both changes are logged as deviations.</w:t>
      </w:r>
    </w:p>
    <w:bookmarkEnd w:id="80"/>
    <w:bookmarkStart w:id="81" w:name="theoretical-threats"/>
    <w:p>
      <w:pPr>
        <w:pStyle w:val="Heading2"/>
      </w:pPr>
      <w:r>
        <w:t xml:space="preserve">10.5 Theoretical threats</w:t>
      </w:r>
    </w:p>
    <w:p>
      <w:pPr>
        <w:pStyle w:val="FirstParagraph"/>
        <w:jc w:val="both"/>
      </w:pPr>
      <w:r>
        <w:rPr>
          <w:b/>
          <w:bCs/>
        </w:rPr>
        <w:t xml:space="preserve">Assumption (A).</w:t>
      </w:r>
      <w:r>
        <w:t xml:space="preserve"> </w:t>
      </w:r>
      <w:r>
        <w:t xml:space="preserve">The variance (6) and design effects (7) assume a one-way</w:t>
      </w:r>
      <w:r>
        <w:t xml:space="preserve"> </w:t>
      </w:r>
      <w:r>
        <w:t xml:space="preserve">random-effects model with compound symmetry. Proposition 1, Corollary 2.2 and</w:t>
      </w:r>
      <w:r>
        <w:t xml:space="preserve"> </w:t>
      </w:r>
      <w:r>
        <w:t xml:space="preserve">the label-level condition of §5.3 are distribution-free and do not depend on it.</w:t>
      </w:r>
      <w:r>
        <w:t xml:space="preserve"> </w:t>
      </w:r>
      <w:r>
        <w:t xml:space="preserve">Expression (6) concerns the correlation of the coverage indicator rather than of</w:t>
      </w:r>
      <w:r>
        <w:t xml:space="preserve"> </w:t>
      </w:r>
      <w:r>
        <w:t xml:space="preserve">raw scores; recomputing the dose–response analysis with the indicator correlation</w:t>
      </w:r>
      <w:r>
        <w:t xml:space="preserve"> </w:t>
      </w:r>
      <w:r>
        <w:t xml:space="preserve">leaves every Spearman coefficient significant (Table IX). PTB-XL’s correlation</w:t>
      </w:r>
      <w:r>
        <w:t xml:space="preserve"> </w:t>
      </w:r>
      <w:r>
        <w:t xml:space="preserve">falls from 0.35 to 0.19–0.20 under this definition, but its design effect remains</w:t>
      </w:r>
      <w:r>
        <w:t xml:space="preserve"> </w:t>
      </w:r>
      <w:r>
        <w:t xml:space="preserve">near 1.</w:t>
      </w:r>
    </w:p>
    <w:p>
      <w:pPr>
        <w:pStyle w:val="BodyText"/>
        <w:jc w:val="both"/>
      </w:pPr>
      <w:r>
        <w:rPr>
          <w:b/>
          <w:bCs/>
        </w:rPr>
        <w:t xml:space="preserve">Scope of the impossibility result.</w:t>
      </w:r>
      <w:r>
        <w:t xml:space="preserve"> </w:t>
      </w:r>
      <w:r>
        <w:rPr>
          <w:i/>
          <w:iCs/>
        </w:rPr>
        <w:t xml:space="preserve">Corollary 2.2 is proved for the HCP/Dunn</w:t>
      </w:r>
      <w:r>
        <w:rPr>
          <w:i/>
          <w:iCs/>
        </w:rPr>
        <w:t xml:space="preserve"> </w:t>
      </w:r>
      <w:r>
        <w:rPr>
          <w:i/>
          <w:iCs/>
        </w:rPr>
        <w:t xml:space="preserve">family. Whether it holds for every distribution-free method that relies on</w:t>
      </w:r>
      <w:r>
        <w:rPr>
          <w:i/>
          <w:iCs/>
        </w:rPr>
        <w:t xml:space="preserve"> </w:t>
      </w:r>
      <w:r>
        <w:rPr>
          <w:i/>
          <w:iCs/>
        </w:rPr>
        <w:t xml:space="preserve">exchangeability between blocks remains an open question.</w:t>
      </w:r>
      <w:r>
        <w:t xml:space="preserve"> </w:t>
      </w:r>
      <w:r>
        <w:t xml:space="preserve">The collapse of joined</w:t>
      </w:r>
      <w:r>
        <w:t xml:space="preserve"> </w:t>
      </w:r>
      <w:r>
        <w:t xml:space="preserve">partitions into a giant component is itself known [41]. On PTB-XL the verdict is</w:t>
      </w:r>
      <w:r>
        <w:t xml:space="preserve"> </w:t>
      </w:r>
      <w:r>
        <w:t xml:space="preserve">exhaustive only with respect to the declared sources {patient, site, nurse,</w:t>
      </w:r>
      <w:r>
        <w:t xml:space="preserve"> </w:t>
      </w:r>
      <w:r>
        <w:t xml:space="preserve">device}, which cannot be verified from data. Declaring only {patient, site}</w:t>
      </w:r>
      <w:r>
        <w:t xml:space="preserve"> </w:t>
      </w:r>
      <w:r>
        <w:t xml:space="preserve">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w:t>
      </w:r>
      <w:r>
        <w:t xml:space="preserve"> </w:t>
      </w:r>
      <w:r>
        <w:t xml:space="preserve">but 31 of those blocks consist solely of 188 records lacking nurse metadata; on</w:t>
      </w:r>
      <w:r>
        <w:t xml:space="preserve"> </w:t>
      </w:r>
      <w:r>
        <w:t xml:space="preserve">the 1,960 records with complete metadata the same declaration gives</w:t>
      </w:r>
      <w:r>
        <w:t xml:space="preserve"> </w:t>
      </w:r>
      <m:oMath>
        <m:sSub>
          <m:e>
            <m:r>
              <m:t>K</m:t>
            </m:r>
          </m:e>
          <m:sub>
            <m:r>
              <m:t>1</m:t>
            </m:r>
          </m:sub>
        </m:sSub>
        <m:r>
          <m:rPr>
            <m:sty m:val="p"/>
          </m:rPr>
          <m:t>=</m:t>
        </m:r>
        <m:r>
          <m:t>3</m:t>
        </m:r>
      </m:oMath>
      <w:r>
        <w:t xml:space="preserve">. We</w:t>
      </w:r>
      <w:r>
        <w:t xml:space="preserve"> </w:t>
      </w:r>
      <w:r>
        <w:t xml:space="preserve">therefore state the result conditionally:</w:t>
      </w:r>
      <w:r>
        <w:t xml:space="preserve"> </w:t>
      </w:r>
      <w:r>
        <w:rPr>
          <w:i/>
          <w:iCs/>
        </w:rPr>
        <w:t xml:space="preserve">if patient, site, nurse, and device are</w:t>
      </w:r>
      <w:r>
        <w:rPr>
          <w:i/>
          <w:iCs/>
        </w:rPr>
        <w:t xml:space="preserve"> </w:t>
      </w:r>
      <w:r>
        <w:rPr>
          <w:i/>
          <w:iCs/>
        </w:rPr>
        <w:t xml:space="preserve">all treated as dependence sources, no admissible calibration grouping exists at</w:t>
      </w:r>
      <w:r>
        <w:rPr>
          <w:i/>
          <w:iCs/>
        </w:rPr>
        <w:t xml:space="preserve"> </w:t>
      </w:r>
      <w:r>
        <w:rPr>
          <w:i/>
          <w:iCs/>
        </w:rPr>
        <w:t xml:space="preserve">any conventional</w:t>
      </w:r>
      <w:r>
        <w:rPr>
          <w:i/>
          <w:iCs/>
        </w:rPr>
        <w:t xml:space="preserve"> </w:t>
      </w:r>
      <m:oMath>
        <m:r>
          <m:t>α</m:t>
        </m:r>
      </m:oMath>
      <w:r>
        <w:rPr>
          <w:i/>
          <w:iCs/>
        </w:rPr>
        <w:t xml:space="preserve">.</w:t>
      </w:r>
    </w:p>
    <w:bookmarkEnd w:id="81"/>
    <w:bookmarkStart w:id="82" w:name="researcher-degrees-of-freedom"/>
    <w:p>
      <w:pPr>
        <w:pStyle w:val="Heading2"/>
      </w:pPr>
      <w:r>
        <w:t xml:space="preserve">10.6 Researcher degrees of freedom</w:t>
      </w:r>
    </w:p>
    <w:p>
      <w:pPr>
        <w:pStyle w:val="FirstParagraph"/>
        <w:jc w:val="both"/>
      </w:pPr>
      <w:r>
        <w:t xml:space="preserve">Our reading of the MIT-BIH evidence changed three times before stabilizing</w:t>
      </w:r>
      <w:r>
        <w:t xml:space="preserve"> </w:t>
      </w:r>
      <w:r>
        <w:t xml:space="preserve">(Table XI). Each change followed the addition of a control, not a</w:t>
      </w:r>
      <w:r>
        <w:t xml:space="preserve"> </w:t>
      </w:r>
      <w:r>
        <w:t xml:space="preserve">reinterpretation of existing data. The second stage was our own error: it</w:t>
      </w:r>
      <w:r>
        <w:t xml:space="preserve"> </w:t>
      </w:r>
      <w:r>
        <w:t xml:space="preserve">compared analyses with different calibration sizes (about 24,800 against 16,500</w:t>
      </w:r>
      <w:r>
        <w:t xml:space="preserve"> </w:t>
      </w:r>
      <w:r>
        <w:t xml:space="preserve">beats) and attributed the difference to block balance.</w:t>
      </w:r>
    </w:p>
    <w:p>
      <w:pPr>
        <w:pStyle w:val="BodyText"/>
        <w:keepNext/>
        <w:spacing w:before="160"/>
        <w:jc w:val="center"/>
      </w:pPr>
      <w:r/>
      <w:r>
        <w:rPr>
          <w:sz w:val="18"/>
        </w:rPr>
        <w:t>TABLE XI</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Stage</w:t>
            </w:r>
          </w:p>
        </w:tc>
        <w:tc>
          <w:tcPr/>
          <w:p>
            <w:pPr>
              <w:pStyle w:val="Compact"/>
            </w:pPr>
            <w:r>
              <w:rPr>
                <w:b/>
                <w:sz w:val="17"/>
              </w:rPr>
              <w:t xml:space="preserve">Interim conclusion</w:t>
            </w:r>
          </w:p>
        </w:tc>
        <w:tc>
          <w:tcPr/>
          <w:p>
            <w:pPr>
              <w:pStyle w:val="Compact"/>
            </w:pPr>
            <w:r>
              <w:rPr>
                <w:b/>
                <w:sz w:val="17"/>
              </w:rPr>
              <w:t xml:space="preserve">Overturned by</w:t>
            </w:r>
          </w:p>
        </w:tc>
      </w:tr>
      <w:tr>
        <w:tc>
          <w:tcPr/>
          <w:p>
            <w:pPr>
              <w:pStyle w:val="Compact"/>
            </w:pPr>
            <w:r>
              <w:rPr>
                <w:sz w:val="17"/>
              </w:rPr>
              <w:t xml:space="preserve">1</w:t>
            </w:r>
          </w:p>
        </w:tc>
        <w:tc>
          <w:tcPr/>
          <w:p>
            <w:pPr>
              <w:pStyle w:val="Compact"/>
            </w:pPr>
            <w:r>
              <w:rPr>
                <w:sz w:val="17"/>
              </w:rPr>
              <w:t xml:space="preserve">HCP improves on naive split conformal</w:t>
            </w:r>
          </w:p>
        </w:tc>
        <w:tc>
          <w:tcPr/>
          <w:p>
            <w:pPr>
              <w:pStyle w:val="Compact"/>
            </w:pPr>
            <w:r>
              <w:rPr>
                <w:sz w:val="17"/>
              </w:rPr>
              <w:t xml:space="preserve">Permutation control: 81–107% of the gap is mechanical</w:t>
            </w:r>
          </w:p>
        </w:tc>
      </w:tr>
      <w:tr>
        <w:tc>
          <w:tcPr/>
          <w:p>
            <w:pPr>
              <w:pStyle w:val="Compact"/>
            </w:pPr>
            <w:r>
              <w:rPr>
                <w:sz w:val="17"/>
              </w:rPr>
              <w:t xml:space="preserve">2</w:t>
            </w:r>
          </w:p>
        </w:tc>
        <w:tc>
          <w:tcPr/>
          <w:p>
            <w:pPr>
              <w:pStyle w:val="Compact"/>
            </w:pPr>
            <w:r>
              <w:rPr>
                <w:sz w:val="17"/>
              </w:rPr>
              <w:t xml:space="preserve">The deficit is driven by block-size imbalance</w:t>
            </w:r>
          </w:p>
        </w:tc>
        <w:tc>
          <w:tcPr/>
          <w:p>
            <w:pPr>
              <w:pStyle w:val="Compact"/>
            </w:pPr>
            <w:r>
              <w:rPr>
                <w:sz w:val="17"/>
              </w:rPr>
              <w:t xml:space="preserve">2×2 factorial: imbalance significant at 0/3 levels, clustering at 3/3</w:t>
            </w:r>
          </w:p>
        </w:tc>
      </w:tr>
      <w:tr>
        <w:tc>
          <w:tcPr/>
          <w:p>
            <w:pPr>
              <w:pStyle w:val="Compact"/>
            </w:pPr>
            <w:r>
              <w:rPr>
                <w:sz w:val="17"/>
              </w:rPr>
              <w:t xml:space="preserve">3</w:t>
            </w:r>
          </w:p>
        </w:tc>
        <w:tc>
          <w:tcPr/>
          <w:p>
            <w:pPr>
              <w:pStyle w:val="Compact"/>
            </w:pPr>
            <w:r>
              <w:rPr>
                <w:sz w:val="17"/>
              </w:rPr>
              <w:t xml:space="preserve">The deficit increases monotonically with ICC</w:t>
            </w:r>
          </w:p>
        </w:tc>
        <w:tc>
          <w:tcPr/>
          <w:p>
            <w:pPr>
              <w:pStyle w:val="Compac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p>
      <w:pPr>
        <w:pStyle w:val="BodyText"/>
        <w:jc w:val="both"/>
      </w:pPr>
      <w:r>
        <w:t xml:space="preserve">Three analyses were added or changed after results were seen, and each tightened</w:t>
      </w:r>
      <w:r>
        <w:t xml:space="preserve"> </w:t>
      </w:r>
      <w:r>
        <w:t xml:space="preserve">rather than relaxed the evidence: the permutation control, which invalidated a</w:t>
      </w:r>
      <w:r>
        <w:t xml:space="preserve"> </w:t>
      </w:r>
      <w:r>
        <w:t xml:space="preserve">criterion that had favored our hypothesis; the Holm correction, which the frozen</w:t>
      </w:r>
      <w:r>
        <w:t xml:space="preserve"> </w:t>
      </w:r>
      <w:r>
        <w:t xml:space="preserve">analysis plan required but which had not been applied, and which removed the one</w:t>
      </w:r>
      <w:r>
        <w:t xml:space="preserve"> </w:t>
      </w:r>
      <w:r>
        <w:t xml:space="preserve">remaining significant level for ResNet1D-34; and the choice of reporting axis,</w:t>
      </w:r>
      <w:r>
        <w:t xml:space="preserve"> </w:t>
      </w:r>
      <w:r>
        <w:t xml:space="preserve">adopted after ICC failed to unify the two datasets. For the last,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was part of our theoretical notes before the data were collected,</w:t>
      </w:r>
      <w:r>
        <w:t xml:space="preserve"> </w:t>
      </w:r>
      <w:r>
        <w:t xml:space="preserve">and</w:t>
      </w:r>
      <w:r>
        <w:t xml:space="preserve"> </w:t>
      </w:r>
      <m:oMath>
        <m:r>
          <m:t>H</m:t>
        </m:r>
      </m:oMath>
      <w:r>
        <w:t xml:space="preserve"> </w:t>
      </w:r>
      <w:r>
        <w:t xml:space="preserve">follows from (6) rather than being chosen; the decision to report on that</w:t>
      </w:r>
      <w:r>
        <w:t xml:space="preserve"> </w:t>
      </w:r>
      <w:r>
        <w:t xml:space="preserve">axis was nonetheless made with the results in view. A complete deviation log</w:t>
      </w:r>
      <w:r>
        <w:t xml:space="preserve"> </w:t>
      </w:r>
      <w:r>
        <w:t xml:space="preserve">accompanies the protocol.</w:t>
      </w:r>
    </w:p>
    <w:bookmarkEnd w:id="82"/>
    <w:bookmarkEnd w:id="83"/>
    <w:bookmarkStart w:id="84" w:name="conclusion"/>
    <w:p>
      <w:pPr>
        <w:pStyle w:val="Heading1"/>
      </w:pPr>
      <w:r>
        <w:t xml:space="preserve">11. Conclusion</w:t>
      </w:r>
    </w:p>
    <w:p>
      <w:pPr>
        <w:pStyle w:val="FirstParagraph"/>
        <w:jc w:val="both"/>
      </w:pPr>
      <w:r>
        <w:t xml:space="preserve">A distribution-free coverage guarantee on clinical ECG data is a property of the</w:t>
      </w:r>
      <w:r>
        <w:t xml:space="preserve"> </w:t>
      </w:r>
      <w:r>
        <w:t xml:space="preserve">study design before it is a property of the model. Whether hierarchical conformal</w:t>
      </w:r>
      <w:r>
        <w:t xml:space="preserve"> </w:t>
      </w:r>
      <w:r>
        <w:t xml:space="preserve">calibration can deliver one at a given error rate is decided by the number of</w:t>
      </w:r>
      <w:r>
        <w:t xml:space="preserve"> </w:t>
      </w:r>
      <w:r>
        <w:t xml:space="preserve">calibration blocks that respect every declared dependence source, and that number</w:t>
      </w:r>
      <w:r>
        <w:t xml:space="preserve"> </w:t>
      </w:r>
      <w:r>
        <w:t xml:space="preserve">can be computed from metadata before a single patient is enrolled. On public</w:t>
      </w:r>
      <w:r>
        <w:t xml:space="preserve"> </w:t>
      </w:r>
      <w:r>
        <w:t xml:space="preserve">resources it is often smaller than the size of the data suggests, and smallest</w:t>
      </w:r>
      <w:r>
        <w:t xml:space="preserve"> </w:t>
      </w:r>
      <w:r>
        <w:t xml:space="preserve">for the rare diagnoses where calibrated uncertainty would matter most. Whether</w:t>
      </w:r>
      <w:r>
        <w:t xml:space="preserve"> </w:t>
      </w:r>
      <w:r>
        <w:t xml:space="preserve">ignoring the block structure costs coverage is a separate question, answered by</w:t>
      </w:r>
      <w:r>
        <w:t xml:space="preserve"> </w:t>
      </w:r>
      <w:r>
        <w:t xml:space="preserve">how much repetition the blocks contain rather than by how correlated they are.</w:t>
      </w:r>
      <w:r>
        <w:t xml:space="preserve"> </w:t>
      </w:r>
      <w:r>
        <w:t xml:space="preserve">Evaluations of hierarchical conformal methods should compare against a null that</w:t>
      </w:r>
      <w:r>
        <w:t xml:space="preserve"> </w:t>
      </w:r>
      <w:r>
        <w:t xml:space="preserve">removes dependence while preserving block geometry, and should report set size</w:t>
      </w:r>
      <w:r>
        <w:t xml:space="preserve"> </w:t>
      </w:r>
      <w:r>
        <w:t xml:space="preserve">alongside coverage. We recommend that clinical studies claiming conformal</w:t>
      </w:r>
      <w:r>
        <w:t xml:space="preserve"> </w:t>
      </w:r>
      <w:r>
        <w:t xml:space="preserve">guarantees report the number of calibration blocks, per label where labels are</w:t>
      </w:r>
      <w:r>
        <w:t xml:space="preserve"> </w:t>
      </w:r>
      <w:r>
        <w:t xml:space="preserve">conditioned on, together with the dependence sources they declared. These</w:t>
      </w:r>
      <w:r>
        <w:t xml:space="preserve"> </w:t>
      </w:r>
      <w:r>
        <w:t xml:space="preserve">conclusions concern one method family and the dependence sources declared here;</w:t>
      </w:r>
      <w:r>
        <w:t xml:space="preserve"> </w:t>
      </w:r>
      <w:r>
        <w:t xml:space="preserve">whether other block-level procedures share the same boundary remains open.</w:t>
      </w:r>
    </w:p>
    <w:bookmarkEnd w:id="84"/>
    <w:bookmarkStart w:id="8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49" Type="http://schemas.openxmlformats.org/officeDocument/2006/relationships/image" Target="media/rId4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2026-10-02T13:50:48Z</dcterms:created>
  <dcterms:modified xsi:type="dcterms:W3CDTF">2026-10-02T13:50:48Z</dcterms:modified>
</cp:coreProperties>
</file>

<file path=docProps/custom.xml><?xml version="1.0" encoding="utf-8"?>
<Properties xmlns="http://schemas.openxmlformats.org/officeDocument/2006/custom-properties" xmlns:vt="http://schemas.openxmlformats.org/officeDocument/2006/docPropsVTypes"/>
</file>