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jc w:val="center"/>
      </w:pPr>
      <w:r>
        <w:t xml:space="preserve">Block-Level Feasibility of Conformal Calibration on Clinical ECG Data: An Empirical Audit</w:t>
      </w:r>
    </w:p>
    <w:p>
      <w:pPr>
        <w:pStyle w:val="FirstParagraph"/>
      </w:pPr>
      <w:r>
        <w:rPr>
          <w:i/>
          <w:iCs/>
        </w:rPr>
        <w:t xml:space="preserve">Working draft for internal review — generated 2026-10-03 from commit 1fc1c60.</w:t>
      </w:r>
    </w:p>
    <w:p>
      <w:pPr>
        <w:pStyle w:val="BodyText"/>
        <w:jc w:val="both"/>
      </w:pPr>
      <w:r>
        <w:rPr>
          <w:b/>
          <w:bCs/>
          <w:sz w:val="19"/>
        </w:rPr>
        <w:t xml:space="preserve">Abstract—</w:t>
      </w:r>
      <w:r>
        <w:rPr>
          <w:b/>
          <w:sz w:val="19"/>
        </w:rPr>
        <w:t xml:space="preserve">Conformal prediction guarantees finite-sample coverage only when calibration and test data are exchangeable, a condition that repeated recordings, segments and beats from the same patient violate. Hierarchical conformal prediction (HCP) recovers the guarantee by calibrating over blocks, yet its threshold exists only for target error rates of at least</w:t>
      </w:r>
      <w:r>
        <w:rPr>
          <w:b/>
          <w:sz w:val="19"/>
        </w:rPr>
        <w:t xml:space="preserve"> </w:t>
      </w:r>
      <m:oMath>
        <m:r>
          <m:t>1</m:t>
        </m:r>
        <m:r>
          <m:rPr>
            <m:sty m:val="p"/>
          </m:rPr>
          <m:t>/</m:t>
        </m:r>
        <m:r>
          <m:rPr>
            <m:sty m:val="p"/>
          </m:rPr>
          <m:t>(</m:t>
        </m:r>
        <m:sSub>
          <m:e>
            <m:r>
              <m:t>K</m:t>
            </m:r>
          </m:e>
          <m:sub>
            <m:r>
              <m:t>1</m:t>
            </m:r>
          </m:sub>
        </m:sSub>
        <m:r>
          <m:rPr>
            <m:sty m:val="p"/>
          </m:rPr>
          <m:t>+</m:t>
        </m:r>
        <m:r>
          <m:t>1</m:t>
        </m:r>
        <m:r>
          <m:rPr>
            <m:sty m:val="p"/>
          </m:rPr>
          <m:t>)</m:t>
        </m:r>
      </m:oMath>
      <w:r>
        <w:rPr>
          <w:b/>
          <w:sz w:val="19"/>
        </w:rPr>
        <w:t xml:space="preserve">, with</w:t>
      </w:r>
      <w:r>
        <w:rPr>
          <w:b/>
          <w:sz w:val="19"/>
        </w:rPr>
        <w:t xml:space="preserve"> </w:t>
      </w:r>
      <m:oMath>
        <m:sSub>
          <m:e>
            <m:r>
              <m:t>K</m:t>
            </m:r>
          </m:e>
          <m:sub>
            <m:r>
              <m:t>1</m:t>
            </m:r>
          </m:sub>
        </m:sSub>
      </m:oMath>
      <w:r>
        <w:rPr>
          <w:b/>
          <w:sz w:val="19"/>
        </w:rPr>
        <w:t xml:space="preserve"> </w:t>
      </w:r>
      <w:r>
        <w:rPr>
          <w:b/>
          <w:sz w:val="19"/>
        </w:rPr>
        <w:t xml:space="preserve">the number of calibration blocks. We audit three public electrocardiogram resources to ask whether this guarantee can be enforced and whether ignoring blocks costs coverage. From metadata alone, declaring the four documented dependence sources of PTB-XL leaves a single admissible calibration block, and under patient blocking 24 of 44 diagnostic statements have no finite per-label threshold at</w:t>
      </w:r>
      <w:r>
        <w:rPr>
          <w:b/>
          <w:sz w:val="19"/>
        </w:rPr>
        <w:t xml:space="preserve"> </w:t>
      </w:r>
      <m:oMath>
        <m:r>
          <m:t>α</m:t>
        </m:r>
        <m:r>
          <m:rPr>
            <m:sty m:val="p"/>
          </m:rPr>
          <m:t>=</m:t>
        </m:r>
        <m:r>
          <m:t>0.05</m:t>
        </m:r>
      </m:oMath>
      <w:r>
        <w:rPr>
          <w:b/>
          <w:sz w:val="19"/>
        </w:rPr>
        <w:t xml:space="preserve">. Across repeated splits of the 22 MIT-BIH evaluation subjects, naive split conformal covers 1.5–2.4 percentage points less than a matched permutation null; a factorial design attributes the shortfall mainly to clustering, and a controlled dose–response experiment shows it growing with the design effect (rank correlation 0.80–0.85 over 12 configurations, 11 of them synthetic). A jackknife over subjects, however, cannot resolve the sign of this deficit: the scarcity of blocks that limits the guarantee also limits the evidence. PTB-XL shows no deficit despite a within-patient correlation of 0.35, consistent with most of its patients contributing one recording. The apparent advantage of HCP over naive calibration is largely mechanical, retaining 75–110% of its size once dependence is removed. Blocks, not records, should be counted, and subjects, not splits, resampled, before claims about distribution-free coverage are made on clinical data.</w:t>
      </w:r>
    </w:p>
    <w:p>
      <w:pPr>
        <w:pStyle w:val="BodyText"/>
        <w:jc w:val="both"/>
      </w:pPr>
      <w:r>
        <w:rPr>
          <w:b/>
          <w:bCs/>
          <w:sz w:val="19"/>
        </w:rPr>
        <w:t xml:space="preserve">Index Terms—</w:t>
      </w:r>
      <w:r>
        <w:rPr>
          <w:b/>
          <w:sz w:val="19"/>
        </w:rPr>
        <w:t xml:space="preserve">Conformal prediction, electrocardiography, uncertainty quantification, hierarchical data, exchangeability, calibration, study design.</w:t>
      </w:r>
    </w:p>
    <w:bookmarkStart w:id="12" w:name="introduction"/>
    <w:p>
      <w:pPr>
        <w:pStyle w:val="Heading1"/>
      </w:pPr>
      <w:r>
        <w:t xml:space="preserve">1. Introduction</w:t>
      </w:r>
    </w:p>
    <w:p>
      <w:pPr>
        <w:pStyle w:val="FirstParagraph"/>
        <w:jc w:val="both"/>
      </w:pPr>
      <w:r>
        <w:t xml:space="preserve">Public benchmarks [1], [2] have made deep-network interpretation of the</w:t>
      </w:r>
      <w:r>
        <w:t xml:space="preserve"> </w:t>
      </w:r>
      <w:r>
        <w:t xml:space="preserve">electrocardiogram (ECG) a routine exercise, and both reviews of clinical deep</w:t>
      </w:r>
      <w:r>
        <w:t xml:space="preserve"> </w:t>
      </w:r>
      <w:r>
        <w:t xml:space="preserve">learning [3] and the FUTURE-AI consensus guideline [4] name calibrated</w:t>
      </w:r>
      <w:r>
        <w:t xml:space="preserve"> </w:t>
      </w:r>
      <w:r>
        <w:t xml:space="preserve">uncertainty as a prerequisite for deployment.</w:t>
      </w:r>
    </w:p>
    <w:p>
      <w:pPr>
        <w:pStyle w:val="BodyText"/>
        <w:jc w:val="both"/>
      </w:pPr>
      <w:r>
        <w:t xml:space="preserve">Conformal prediction supplies such uncertainty by wrapping a trained classifier</w:t>
      </w:r>
      <w:r>
        <w:t xml:space="preserve"> </w:t>
      </w:r>
      <w:r>
        <w:t xml:space="preserve">so that it outputs prediction sets with finite-sample coverage [5]. Its</w:t>
      </w:r>
      <w:r>
        <w:t xml:space="preserve"> </w:t>
      </w:r>
      <w:r>
        <w:t xml:space="preserve">clinical uses span several domains [6]–[7]; for ECG and related cardiac signals</w:t>
      </w:r>
      <w:r>
        <w:t xml:space="preserve"> </w:t>
      </w:r>
      <w:r>
        <w:t xml:space="preserve">it has served to calibrate quantized models [8], to adapt inference on wearable</w:t>
      </w:r>
      <w:r>
        <w:t xml:space="preserve"> </w:t>
      </w:r>
      <w:r>
        <w:t xml:space="preserve">devices [9], to reveal failures hidden at the level of classes and patients</w:t>
      </w:r>
      <w:r>
        <w:t xml:space="preserve"> </w:t>
      </w:r>
      <w:r>
        <w:t xml:space="preserve">[10], and to bound false alarms during monitoring [11]. All of these rest on</w:t>
      </w:r>
      <w:r>
        <w:t xml:space="preserve"> </w:t>
      </w:r>
      <w:r>
        <w:t xml:space="preserve">exchangeability between calibration and test observations, and once that</w:t>
      </w:r>
      <w:r>
        <w:t xml:space="preserve"> </w:t>
      </w:r>
      <w:r>
        <w:t xml:space="preserve">assumption is dropped only a generic bound on the coverage gap remains [12].</w:t>
      </w:r>
    </w:p>
    <w:p>
      <w:pPr>
        <w:pStyle w:val="BodyText"/>
        <w:jc w:val="both"/>
      </w:pPr>
      <w:r>
        <w:t xml:space="preserve">Stored ECG data seldom honor the assumption. One patient supplies several</w:t>
      </w:r>
      <w:r>
        <w:t xml:space="preserve"> </w:t>
      </w:r>
      <w:r>
        <w:t xml:space="preserve">recordings, Holter episodes are cut into segments, a single recording yields</w:t>
      </w:r>
      <w:r>
        <w:t xml:space="preserve"> </w:t>
      </w:r>
      <w:r>
        <w:t xml:space="preserve">thousands of beats, and patients share devices, sites and operators. The number</w:t>
      </w:r>
      <w:r>
        <w:t xml:space="preserve"> </w:t>
      </w:r>
      <w:r>
        <w:t xml:space="preserve">of independent units in a calibration set can therefore be much smaller than its</w:t>
      </w:r>
      <w:r>
        <w:t xml:space="preserve"> </w:t>
      </w:r>
      <w:r>
        <w:t xml:space="preserve">number of records.</w:t>
      </w:r>
    </w:p>
    <w:p>
      <w:pPr>
        <w:pStyle w:val="BodyText"/>
        <w:jc w:val="both"/>
      </w:pPr>
      <w:r>
        <w:t xml:space="preserve">Lee et al. addressed grouped data of this kind by formalizing hierarchical</w:t>
      </w:r>
      <w:r>
        <w:t xml:space="preserve"> </w:t>
      </w:r>
      <w:r>
        <w:t xml:space="preserve">exchangeability and proposing hierarchical conformal prediction (HCP), which</w:t>
      </w:r>
      <w:r>
        <w:t xml:space="preserve"> </w:t>
      </w:r>
      <w:r>
        <w:t xml:space="preserve">calibrates over blocks [13]; Dunn et al. developed related constructions for</w:t>
      </w:r>
      <w:r>
        <w:t xml:space="preserve"> </w:t>
      </w:r>
      <w:r>
        <w:t xml:space="preserve">two-layer models [14]. Because HCP assigns every calibration block the same mass</w:t>
      </w:r>
      <w:r>
        <w:t xml:space="preserve"> </w:t>
      </w:r>
      <w:r>
        <w:t xml:space="preserve">and places an extra atom at</w:t>
      </w:r>
      <w:r>
        <w:t xml:space="preserve"> </w:t>
      </w:r>
      <m:oMath>
        <m:r>
          <m:rPr>
            <m:sty m:val="p"/>
          </m:rPr>
          <m:t>+</m:t>
        </m:r>
        <m:r>
          <m:rPr>
            <m:sty m:val="p"/>
          </m:rPr>
          <m:t>∞</m:t>
        </m:r>
      </m:oMath>
      <w:r>
        <w:t xml:space="preserve">, its threshold is finite only if the target</w:t>
      </w:r>
      <w:r>
        <w:t xml:space="preserve"> </w:t>
      </w:r>
      <w:r>
        <w:t xml:space="preserve">error rate</w:t>
      </w:r>
      <w:r>
        <w:t xml:space="preserve"> </w:t>
      </w:r>
      <m:oMath>
        <m:r>
          <m:t>α</m:t>
        </m:r>
      </m:oMath>
      <w:r>
        <w:t xml:space="preserve"> </w:t>
      </w:r>
      <w:r>
        <w:t xml:space="preserve">is no smaller than</w:t>
      </w:r>
      <w:r>
        <w:t xml:space="preserve"> </w:t>
      </w:r>
      <m:oMath>
        <m:r>
          <m:t>1</m:t>
        </m:r>
        <m:r>
          <m:rPr>
            <m:sty m:val="p"/>
          </m:rPr>
          <m:t>/</m:t>
        </m:r>
        <m:r>
          <m:rPr>
            <m:sty m:val="p"/>
          </m:rPr>
          <m:t>(</m:t>
        </m:r>
        <m:sSub>
          <m:e>
            <m:r>
              <m:t>K</m:t>
            </m:r>
          </m:e>
          <m:sub>
            <m:r>
              <m:t>1</m:t>
            </m:r>
          </m:sub>
        </m:sSub>
        <m:r>
          <m:rPr>
            <m:sty m:val="p"/>
          </m:rPr>
          <m:t>+</m:t>
        </m:r>
        <m:r>
          <m:t>1</m:t>
        </m:r>
        <m:r>
          <m:rPr>
            <m:sty m:val="p"/>
          </m:rPr>
          <m:t>)</m:t>
        </m:r>
      </m:oMath>
      <w:r>
        <w:t xml:space="preserve">, where</w:t>
      </w:r>
      <w:r>
        <w:t xml:space="preserve"> </w:t>
      </w:r>
      <m:oMath>
        <m:sSub>
          <m:e>
            <m:r>
              <m:t>K</m:t>
            </m:r>
          </m:e>
          <m:sub>
            <m:r>
              <m:t>1</m:t>
            </m:r>
          </m:sub>
        </m:sSub>
      </m:oMath>
      <w:r>
        <w:t xml:space="preserve"> </w:t>
      </w:r>
      <w:r>
        <w:t xml:space="preserve">counts the</w:t>
      </w:r>
      <w:r>
        <w:t xml:space="preserve"> </w:t>
      </w:r>
      <w:r>
        <w:t xml:space="preserve">calibration blocks. A large dataset may thus retain few blocks once every</w:t>
      </w:r>
      <w:r>
        <w:t xml:space="preserve"> </w:t>
      </w:r>
      <w:r>
        <w:t xml:space="preserve">dependence source is honored, and a rare diagnosis fewer still. In the opposite</w:t>
      </w:r>
      <w:r>
        <w:t xml:space="preserve"> </w:t>
      </w:r>
      <w:r>
        <w:t xml:space="preserve">direction, ignoring blocks may cost nothing when nearly every patient contributes</w:t>
      </w:r>
      <w:r>
        <w:t xml:space="preserve"> </w:t>
      </w:r>
      <w:r>
        <w:t xml:space="preserve">one recording. Lee et al. identify the choice between many small and few large</w:t>
      </w:r>
      <w:r>
        <w:t xml:space="preserve"> </w:t>
      </w:r>
      <w:r>
        <w:t xml:space="preserve">groups as an open question of study design [13], and Sim and Kim have shown, for</w:t>
      </w:r>
      <w:r>
        <w:t xml:space="preserve"> </w:t>
      </w:r>
      <w:r>
        <w:t xml:space="preserve">ECG monitoring, that the false-alarm guarantee of split conformal prediction</w:t>
      </w:r>
      <w:r>
        <w:t xml:space="preserve"> </w:t>
      </w:r>
      <w:r>
        <w:t xml:space="preserve">scales with the number of subjects rather than of beats [11].</w:t>
      </w:r>
    </w:p>
    <w:p>
      <w:pPr>
        <w:pStyle w:val="BodyText"/>
        <w:jc w:val="both"/>
      </w:pPr>
      <w:r>
        <w:t xml:space="preserve">It remains insufficiently characterized whether the intended guarantee is</w:t>
      </w:r>
      <w:r>
        <w:t xml:space="preserve"> </w:t>
      </w:r>
      <w:r>
        <w:t xml:space="preserve">attainable under the dependence structures of real clinical resources, in which</w:t>
      </w:r>
      <w:r>
        <w:t xml:space="preserve"> </w:t>
      </w:r>
      <w:r>
        <w:t xml:space="preserve">sources may be crossed and coverage may be demanded for each diagnosis. We take</w:t>
      </w:r>
      <w:r>
        <w:t xml:space="preserve"> </w:t>
      </w:r>
      <w:r>
        <w:t xml:space="preserve">up this design-stage question with an empirical audit of three public ECG</w:t>
      </w:r>
      <w:r>
        <w:t xml:space="preserve"> </w:t>
      </w:r>
      <w:r>
        <w:t xml:space="preserve">resources: PTB-XL [2], [15], where 18,869 patients contribute 1.16 records on</w:t>
      </w:r>
      <w:r>
        <w:t xml:space="preserve"> </w:t>
      </w:r>
      <w:r>
        <w:t xml:space="preserve">average; the MIT-BIH Arrhythmia Database [16], where each of 44 subjects</w:t>
      </w:r>
      <w:r>
        <w:t xml:space="preserve"> </w:t>
      </w:r>
      <w:r>
        <w:t xml:space="preserve">contributes more than 1,500 beats; and the PhysioNet/CinC Challenge 2021</w:t>
      </w:r>
      <w:r>
        <w:t xml:space="preserve"> </w:t>
      </w:r>
      <w:r>
        <w:t xml:space="preserve">collection [17], which leaves the block identifier undocumented. Two questions</w:t>
      </w:r>
      <w:r>
        <w:t xml:space="preserve"> </w:t>
      </w:r>
      <w:r>
        <w:t xml:space="preserve">guide the audit: can a block-level guarantee be enforced on these resources at</w:t>
      </w:r>
      <w:r>
        <w:t xml:space="preserve"> </w:t>
      </w:r>
      <w:r>
        <w:t xml:space="preserve">conventional error rates (RQ1), and does ignoring block structure cost coverage,</w:t>
      </w:r>
      <w:r>
        <w:t xml:space="preserve"> </w:t>
      </w:r>
      <w:r>
        <w:t xml:space="preserve">and through what mechanism (RQ2)? Fig. 1 summarizes the audit: a first stage</w:t>
      </w:r>
      <w:r>
        <w:t xml:space="preserve"> </w:t>
      </w:r>
      <w:r>
        <w:t xml:space="preserve">that answers RQ1 from metadata alone, and a second stage that answers RQ2 from</w:t>
      </w:r>
      <w:r>
        <w:t xml:space="preserve"> </w:t>
      </w:r>
      <w:r>
        <w:t xml:space="preserve">the conformity scores of three backbones, together with the sections that</w:t>
      </w:r>
      <w:r>
        <w:t xml:space="preserve"> </w:t>
      </w:r>
      <w:r>
        <w:t xml:space="preserve">report each step.</w:t>
      </w:r>
    </w:p>
    <w:p>
      <w:pPr>
        <w:pStyle w:val="CaptionedFigure"/>
        <w:jc w:val="both"/>
      </w:pPr>
      <w:r>
        <w:drawing>
          <wp:inline>
            <wp:extent cx="5334000" cy="3745353"/>
            <wp:effectExtent b="0" l="0" r="0" t="0"/>
            <wp:docPr descr="Fig. 1. Audit workflow. Stage 1 (blue header) uses metadata only and returns verdicts that are exact given the declared dependence sources D, before any model is trained (RQ1; §3, §5.1). Stage 2 (orange headers) uses conformity scores from three backbones, at feasible levels only, to compare naive split conformal (B1) with HCP (B12), attribute the B1 deficit to dependence, relate it to the design effect, separate split-level from subject-level uncertainty and check robustness (RQ2; §5.2–§5.5)." title="" id="10" name="Picture"/>
            <a:graphic>
              <a:graphicData uri="http://schemas.openxmlformats.org/drawingml/2006/picture">
                <pic:pic>
                  <pic:nvPicPr>
                    <pic:cNvPr descr="figures/fig1_audit_workflow.png" id="11" name="Picture"/>
                    <pic:cNvPicPr>
                      <a:picLocks noChangeArrowheads="1" noChangeAspect="1"/>
                    </pic:cNvPicPr>
                  </pic:nvPicPr>
                  <pic:blipFill>
                    <a:blip r:embed="rId9"/>
                    <a:stretch>
                      <a:fillRect/>
                    </a:stretch>
                  </pic:blipFill>
                  <pic:spPr bwMode="auto">
                    <a:xfrm>
                      <a:off x="0" y="0"/>
                      <a:ext cx="5334000" cy="3745353"/>
                    </a:xfrm>
                    <a:prstGeom prst="rect">
                      <a:avLst/>
                    </a:prstGeom>
                    <a:noFill/>
                    <a:ln w="9525">
                      <a:noFill/>
                      <a:headEnd/>
                      <a:tailEnd/>
                    </a:ln>
                  </pic:spPr>
                </pic:pic>
              </a:graphicData>
            </a:graphic>
          </wp:inline>
        </w:drawing>
      </w:r>
    </w:p>
    <w:p>
      <w:pPr>
        <w:pStyle w:val="ImageCaption"/>
        <w:jc w:val="both"/>
      </w:pPr>
      <w:r>
        <w:t xml:space="preserve">Fig. 1. Audit workflow. Stage 1 (blue header) uses metadata only and returns verdicts that are exact given the declared dependence sources</w:t>
      </w:r>
      <w:r>
        <w:t xml:space="preserve"> </w:t>
      </w:r>
      <m:oMath>
        <m:r>
          <m:t>D</m:t>
        </m:r>
      </m:oMath>
      <w:r>
        <w:t xml:space="preserve">, before any model is trained (RQ1; §3, §5.1). Stage 2 (orange headers) uses conformity scores from three backbones, at feasible levels only, to compare naive split conformal (B1) with HCP (B12), attribute the B1 deficit to dependence, relate it to the design effect, separate split-level from subject-level uncertainty and check robustness (RQ2; §5.2–§5.5).</w:t>
      </w:r>
    </w:p>
    <w:p>
      <w:pPr>
        <w:pStyle w:val="BodyText"/>
      </w:pPr>
      <w:r>
        <w:t xml:space="preserve">We introduce no new conformal procedure. The audit contributes the following.</w:t>
      </w:r>
    </w:p>
    <w:p>
      <w:pPr>
        <w:pStyle w:val="Compact"/>
        <w:numPr>
          <w:ilvl w:val="0"/>
          <w:numId w:val="1001"/>
        </w:numPr>
      </w:pPr>
      <w:r>
        <w:t xml:space="preserve">A metadata-only feasibility audit (RQ1; §3, §5.1). The HCP bound, combined</w:t>
      </w:r>
      <w:r>
        <w:t xml:space="preserve"> </w:t>
      </w:r>
      <w:r>
        <w:t xml:space="preserve">with the join of the declared dependence sources, returns exact verdicts from</w:t>
      </w:r>
      <w:r>
        <w:t xml:space="preserve"> </w:t>
      </w:r>
      <w:r>
        <w:t xml:space="preserve">metadata or planned enrollment counts, before any model is trained. With all</w:t>
      </w:r>
      <w:r>
        <w:t xml:space="preserve"> </w:t>
      </w:r>
      <w:r>
        <w:t xml:space="preserve">four documented PTB-XL sources declared, every admissible calibration grouping</w:t>
      </w:r>
      <w:r>
        <w:t xml:space="preserve"> </w:t>
      </w:r>
      <w:r>
        <w:t xml:space="preserve">reduces to one block; with patient blocking alone, 24 of 44 SCP diagnostic</w:t>
      </w:r>
      <w:r>
        <w:t xml:space="preserve"> </w:t>
      </w:r>
      <w:r>
        <w:t xml:space="preserve">statements lack a finite per-label threshold at</w:t>
      </w:r>
      <w:r>
        <w:t xml:space="preserve"> </w:t>
      </w:r>
      <m:oMath>
        <m:r>
          <m:t>α</m:t>
        </m:r>
        <m:r>
          <m:rPr>
            <m:sty m:val="p"/>
          </m:rPr>
          <m:t>=</m:t>
        </m:r>
        <m:r>
          <m:t>0.05</m:t>
        </m:r>
      </m:oMath>
      <w:r>
        <w:t xml:space="preserve">; and dividing the</w:t>
      </w:r>
      <w:r>
        <w:t xml:space="preserve"> </w:t>
      </w:r>
      <w:r>
        <w:t xml:space="preserve">22 MIT-BIH evaluation subjects evenly between calibration and test rules out a</w:t>
      </w:r>
      <w:r>
        <w:t xml:space="preserve"> </w:t>
      </w:r>
      <w:r>
        <w:t xml:space="preserve">subject-level guarantee at the 95% level.</w:t>
      </w:r>
    </w:p>
    <w:p>
      <w:pPr>
        <w:pStyle w:val="Compact"/>
        <w:numPr>
          <w:ilvl w:val="0"/>
          <w:numId w:val="1001"/>
        </w:numPr>
      </w:pPr>
      <w:r>
        <w:t xml:space="preserve">Attribution of under-coverage to dependence acting through repetition</w:t>
      </w:r>
      <w:r>
        <w:t xml:space="preserve"> </w:t>
      </w:r>
      <w:r>
        <w:t xml:space="preserve">(RQ2; §5.2–§5.4). On the 22 MIT-BIH evaluation subjects, naive split conformal</w:t>
      </w:r>
      <w:r>
        <w:t xml:space="preserve"> </w:t>
      </w:r>
      <w:r>
        <w:t xml:space="preserve">covers less than a matched permutation null in every backbone and level, a</w:t>
      </w:r>
      <w:r>
        <w:t xml:space="preserve"> </w:t>
      </w:r>
      <w:r>
        <w:t xml:space="preserve">factorial design attributes the shortfall mainly to clustering, with block-size</w:t>
      </w:r>
      <w:r>
        <w:t xml:space="preserve"> </w:t>
      </w:r>
      <w:r>
        <w:t xml:space="preserve">imbalance acting through it, and a controlled dose–response experiment shows it</w:t>
      </w:r>
      <w:r>
        <w:t xml:space="preserve"> </w:t>
      </w:r>
      <w:r>
        <w:t xml:space="preserve">increasing with the design effect. PTB-XL, despite substantial within-patient</w:t>
      </w:r>
      <w:r>
        <w:t xml:space="preserve"> </w:t>
      </w:r>
      <w:r>
        <w:t xml:space="preserve">correlation, sits near zero, as the design effect predicts. With only 22</w:t>
      </w:r>
      <w:r>
        <w:t xml:space="preserve"> </w:t>
      </w:r>
      <w:r>
        <w:t xml:space="preserve">subjects, however, the deficit is not resolved at the level of subjects, which</w:t>
      </w:r>
      <w:r>
        <w:t xml:space="preserve"> </w:t>
      </w:r>
      <w:r>
        <w:t xml:space="preserve">we report as a limit of the evidence that mirrors the limit on the guarantee.</w:t>
      </w:r>
    </w:p>
    <w:p>
      <w:pPr>
        <w:pStyle w:val="Compact"/>
        <w:numPr>
          <w:ilvl w:val="0"/>
          <w:numId w:val="1001"/>
        </w:numPr>
      </w:pPr>
      <w:r>
        <w:t xml:space="preserve">Two cautions for evaluating conformal methods on clustered data (§5.3,</w:t>
      </w:r>
      <w:r>
        <w:t xml:space="preserve"> </w:t>
      </w:r>
      <w:r>
        <w:t xml:space="preserve">§6.2). Between 75% and 110% of the apparent gain of HCP over naive split</w:t>
      </w:r>
      <w:r>
        <w:t xml:space="preserve"> </w:t>
      </w:r>
      <w:r>
        <w:t xml:space="preserve">conformal survives when within-block dependence is permuted away, so the gain</w:t>
      </w:r>
      <w:r>
        <w:t xml:space="preserve"> </w:t>
      </w:r>
      <w:r>
        <w:t xml:space="preserve">is largely mechanical. And intervals from repeated random splits of a fixed set</w:t>
      </w:r>
      <w:r>
        <w:t xml:space="preserve"> </w:t>
      </w:r>
      <w:r>
        <w:t xml:space="preserve">of subjects describe the split procedure rather than the population: on</w:t>
      </w:r>
      <w:r>
        <w:t xml:space="preserve"> </w:t>
      </w:r>
      <w:r>
        <w:t xml:space="preserve">MIT-BIH they exclude zero where a jackknife over subjects does not. We</w:t>
      </w:r>
      <w:r>
        <w:t xml:space="preserve"> </w:t>
      </w:r>
      <w:r>
        <w:t xml:space="preserve">recommend matched permutation nulls, joint reporting of set size, and</w:t>
      </w:r>
      <w:r>
        <w:t xml:space="preserve"> </w:t>
      </w:r>
      <w:r>
        <w:t xml:space="preserve">resampling of subjects whenever a population claim is intended.</w:t>
      </w:r>
    </w:p>
    <w:p>
      <w:pPr>
        <w:pStyle w:val="FirstParagraph"/>
        <w:jc w:val="both"/>
      </w:pPr>
      <w:r>
        <w:t xml:space="preserve">The direction of every finding is checked across three backbones whose parameter</w:t>
      </w:r>
      <w:r>
        <w:t xml:space="preserve"> </w:t>
      </w:r>
      <w:r>
        <w:t xml:space="preserve">counts differ by more than a hundredfold and across two checkpoints. Resampling</w:t>
      </w:r>
      <w:r>
        <w:t xml:space="preserve"> </w:t>
      </w:r>
      <w:r>
        <w:t xml:space="preserve">is always performed over blocks, the held-out PTB-XL fold has never been</w:t>
      </w:r>
      <w:r>
        <w:t xml:space="preserve"> </w:t>
      </w:r>
      <w:r>
        <w:t xml:space="preserve">inspected, and the code, per-result artifacts, analysis protocol and its</w:t>
      </w:r>
      <w:r>
        <w:t xml:space="preserve"> </w:t>
      </w:r>
      <w:r>
        <w:t xml:space="preserve">deviation log are released with the paper. Section 2 situates the audit in prior</w:t>
      </w:r>
      <w:r>
        <w:t xml:space="preserve"> </w:t>
      </w:r>
      <w:r>
        <w:t xml:space="preserve">work, Section 3 derives the feasibility conditions, Section 4 sets out the</w:t>
      </w:r>
      <w:r>
        <w:t xml:space="preserve"> </w:t>
      </w:r>
      <w:r>
        <w:t xml:space="preserve">design, and Sections 5 and 6 present and discuss the findings.</w:t>
      </w:r>
    </w:p>
    <w:bookmarkEnd w:id="12"/>
    <w:bookmarkStart w:id="15" w:name="related-work"/>
    <w:p>
      <w:pPr>
        <w:pStyle w:val="Heading1"/>
      </w:pPr>
      <w:r>
        <w:t xml:space="preserve">2. Related Work</w:t>
      </w:r>
    </w:p>
    <w:bookmarkStart w:id="13" w:name="X82604ee80040ca60fd96cad68dfd92d7ce32f61"/>
    <w:p>
      <w:pPr>
        <w:pStyle w:val="Heading2"/>
      </w:pPr>
      <w:r>
        <w:t xml:space="preserve">2.1 Conformal prediction under dependence and for hierarchical data</w:t>
      </w:r>
    </w:p>
    <w:p>
      <w:pPr>
        <w:pStyle w:val="FirstParagraph"/>
        <w:jc w:val="both"/>
      </w:pPr>
      <w:r>
        <w:t xml:space="preserve">When exchangeability fails, Barber et al. bound the loss of coverage by the</w:t>
      </w:r>
      <w:r>
        <w:t xml:space="preserve"> </w:t>
      </w:r>
      <w:r>
        <w:t xml:space="preserve">total-variation distance between the data distribution and an exchangeable</w:t>
      </w:r>
      <w:r>
        <w:t xml:space="preserve"> </w:t>
      </w:r>
      <w:r>
        <w:t xml:space="preserve">counterpart [12]; the bound is agnostic to the source of the violation and does</w:t>
      </w:r>
      <w:r>
        <w:t xml:space="preserve"> </w:t>
      </w:r>
      <w:r>
        <w:t xml:space="preserve">not prescribe a fix. Other work handles particular departures one at a time:</w:t>
      </w:r>
      <w:r>
        <w:t xml:space="preserve"> </w:t>
      </w:r>
      <w:r>
        <w:t xml:space="preserve">covariate shift with known or estimable likelihood ratios [18], spatial data [19]</w:t>
      </w:r>
      <w:r>
        <w:t xml:space="preserve"> </w:t>
      </w:r>
      <w:r>
        <w:t xml:space="preserve">and network dependence [20]. Bhattacharyya and Barber study groups whose</w:t>
      </w:r>
      <w:r>
        <w:t xml:space="preserve"> </w:t>
      </w:r>
      <w:r>
        <w:t xml:space="preserve">membership drives the covariate shift [21], so that exchangeability still holds</w:t>
      </w:r>
      <w:r>
        <w:t xml:space="preserve"> </w:t>
      </w:r>
      <w:r>
        <w:t xml:space="preserve">inside each group; our setting is the reverse, with stable group proportions but</w:t>
      </w:r>
      <w:r>
        <w:t xml:space="preserve"> </w:t>
      </w:r>
      <w:r>
        <w:t xml:space="preserve">non-exchangeable observations within a block. The framework and its variants,</w:t>
      </w:r>
      <w:r>
        <w:t xml:space="preserve"> </w:t>
      </w:r>
      <w:r>
        <w:t xml:space="preserve">the Mondrian construction among them, are reviewed by Fontana et al. [5], and</w:t>
      </w:r>
      <w:r>
        <w:t xml:space="preserve"> </w:t>
      </w:r>
      <w:r>
        <w:t xml:space="preserve">calibrated Mondrian versions have appeared since [22].</w:t>
      </w:r>
    </w:p>
    <w:p>
      <w:pPr>
        <w:pStyle w:val="BodyText"/>
        <w:jc w:val="both"/>
      </w:pPr>
      <w:r>
        <w:t xml:space="preserve">For groups of repeated measurements, Lee et al. formalized hierarchical</w:t>
      </w:r>
      <w:r>
        <w:t xml:space="preserve"> </w:t>
      </w:r>
      <w:r>
        <w:t xml:space="preserve">exchangeability and carried both conformal prediction and the jackknife+ [23]</w:t>
      </w:r>
      <w:r>
        <w:t xml:space="preserve"> </w:t>
      </w:r>
      <w:r>
        <w:t xml:space="preserve">over to it [13]; (1) and (2) restate their threshold and guarantee. Working</w:t>
      </w:r>
      <w:r>
        <w:t xml:space="preserve"> </w:t>
      </w:r>
      <w:r>
        <w:t xml:space="preserve">independently, Dunn et al. proposed four constructions for two-layer</w:t>
      </w:r>
      <w:r>
        <w:t xml:space="preserve"> </w:t>
      </w:r>
      <w:r>
        <w:t xml:space="preserve">hierarchical models [14]. These results are taken as given here. Both lines of</w:t>
      </w:r>
      <w:r>
        <w:t xml:space="preserve"> </w:t>
      </w:r>
      <w:r>
        <w:t xml:space="preserve">work are theoretical and are evaluated on regression tasks, [13] on simulated</w:t>
      </w:r>
      <w:r>
        <w:t xml:space="preserve"> </w:t>
      </w:r>
      <w:r>
        <w:t xml:space="preserve">data and a Lorenz-96 system, and neither addresses the question an applied study</w:t>
      </w:r>
      <w:r>
        <w:t xml:space="preserve"> </w:t>
      </w:r>
      <w:r>
        <w:t xml:space="preserve">faces first: given a clinical dataset and a target error rate, which grouping, if</w:t>
      </w:r>
      <w:r>
        <w:t xml:space="preserve"> </w:t>
      </w:r>
      <w:r>
        <w:t xml:space="preserve">any, lets the guarantee be enforced? Lee et al. come close to it when they note</w:t>
      </w:r>
      <w:r>
        <w:t xml:space="preserve"> </w:t>
      </w:r>
      <w:r>
        <w:t xml:space="preserve">that an analyst may trade many groups with few measurements against few groups</w:t>
      </w:r>
      <w:r>
        <w:t xml:space="preserve"> </w:t>
      </w:r>
      <w:r>
        <w:t xml:space="preserve">with many repeats, adding that</w:t>
      </w:r>
      <w:r>
        <w:t xml:space="preserve"> </w:t>
      </w:r>
      <w:r>
        <w:rPr>
          <w:i/>
          <w:iCs/>
        </w:rPr>
        <w:t xml:space="preserve">characterizing the pros and cons of this tradeoff</w:t>
      </w:r>
      <w:r>
        <w:rPr>
          <w:i/>
          <w:iCs/>
        </w:rPr>
        <w:t xml:space="preserve"> </w:t>
      </w:r>
      <w:r>
        <w:rPr>
          <w:i/>
          <w:iCs/>
        </w:rPr>
        <w:t xml:space="preserve">is an important question to determine how study design affects inference in this</w:t>
      </w:r>
      <w:r>
        <w:rPr>
          <w:i/>
          <w:iCs/>
        </w:rPr>
        <w:t xml:space="preserve"> </w:t>
      </w:r>
      <w:r>
        <w:rPr>
          <w:i/>
          <w:iCs/>
        </w:rPr>
        <w:t xml:space="preserve">distribution-free setting</w:t>
      </w:r>
      <w:r>
        <w:t xml:space="preserve"> </w:t>
      </w:r>
      <w:r>
        <w:t xml:space="preserve">[13]. We take up the most elementary part of that</w:t>
      </w:r>
      <w:r>
        <w:t xml:space="preserve"> </w:t>
      </w:r>
      <w:r>
        <w:t xml:space="preserve">question — whether a design admits a finite threshold at all — and then measure</w:t>
      </w:r>
      <w:r>
        <w:t xml:space="preserve"> </w:t>
      </w:r>
      <w:r>
        <w:t xml:space="preserve">what happens on clinical data when it does.</w:t>
      </w:r>
    </w:p>
    <w:bookmarkEnd w:id="13"/>
    <w:bookmarkStart w:id="14" w:name="Xde641f5d420a891fdb073e7aa4fa0944e53f724"/>
    <w:p>
      <w:pPr>
        <w:pStyle w:val="Heading2"/>
      </w:pPr>
      <w:r>
        <w:t xml:space="preserve">2.2 Multi-label, clinical and ECG applications</w:t>
      </w:r>
    </w:p>
    <w:p>
      <w:pPr>
        <w:pStyle w:val="FirstParagraph"/>
        <w:jc w:val="both"/>
      </w:pPr>
      <w:r>
        <w:t xml:space="preserve">Multi-label conformal methods, surveyed by Papadopoulos [24], capture dependence</w:t>
      </w:r>
      <w:r>
        <w:t xml:space="preserve"> </w:t>
      </w:r>
      <w:r>
        <w:t xml:space="preserve">among labels but assume exchangeable samples, the converse of what our setting</w:t>
      </w:r>
      <w:r>
        <w:t xml:space="preserve"> </w:t>
      </w:r>
      <w:r>
        <w:t xml:space="preserve">needs. Maltoudoglou et al. lower the cost of Label Powerset conformal prediction</w:t>
      </w:r>
      <w:r>
        <w:t xml:space="preserve"> </w:t>
      </w:r>
      <w:r>
        <w:t xml:space="preserve">through pruning [25], and hierarchical multi-label classification without</w:t>
      </w:r>
      <w:r>
        <w:t xml:space="preserve"> </w:t>
      </w:r>
      <w:r>
        <w:t xml:space="preserve">conformal guarantees is a mature field [26], [27]. Baheri and Shahbazi calibrate</w:t>
      </w:r>
      <w:r>
        <w:t xml:space="preserve"> </w:t>
      </w:r>
      <w:r>
        <w:t xml:space="preserve">at several levels of a label hierarchy and intersect the resulting sets [28],</w:t>
      </w:r>
      <w:r>
        <w:t xml:space="preserve"> </w:t>
      </w:r>
      <w:r>
        <w:t xml:space="preserve">while Zhang et al. encode prediction sets as nodes of a label graph [29]. Both exploit structure among labels; here the hierarchy serves only to</w:t>
      </w:r>
      <w:r>
        <w:t xml:space="preserve"> </w:t>
      </w:r>
      <w:r>
        <w:t xml:space="preserve">count calibration blocks per label (§3.4).</w:t>
      </w:r>
    </w:p>
    <w:p>
      <w:pPr>
        <w:pStyle w:val="BodyText"/>
        <w:jc w:val="both"/>
      </w:pPr>
      <w:r>
        <w:t xml:space="preserve">On the ECG side, Strodthoff et al. set the PTB-XL benchmarks [1] for the dataset</w:t>
      </w:r>
      <w:r>
        <w:t xml:space="preserve"> </w:t>
      </w:r>
      <w:r>
        <w:t xml:space="preserve">described in [2], [15], and their residual networks guide our choice of</w:t>
      </w:r>
      <w:r>
        <w:t xml:space="preserve"> </w:t>
      </w:r>
      <w:r>
        <w:t xml:space="preserve">backbones. Beat-level evaluation follows the inter-patient protocol, under which</w:t>
      </w:r>
      <w:r>
        <w:t xml:space="preserve"> </w:t>
      </w:r>
      <w:r>
        <w:t xml:space="preserve">no subject appears in both training and evaluation [30], [31], because mixing</w:t>
      </w:r>
      <w:r>
        <w:t xml:space="preserve"> </w:t>
      </w:r>
      <w:r>
        <w:t xml:space="preserve">the two inflates reported performance [32]. A survey of conformal prediction in</w:t>
      </w:r>
      <w:r>
        <w:t xml:space="preserve"> </w:t>
      </w:r>
      <w:r>
        <w:t xml:space="preserve">clinical medicine is given in [6], with applications to anatomical landmark</w:t>
      </w:r>
      <w:r>
        <w:t xml:space="preserve"> </w:t>
      </w:r>
      <w:r>
        <w:t xml:space="preserve">localization [33] and multi-label diagnosis coding [7]; conformal risk control</w:t>
      </w:r>
      <w:r>
        <w:t xml:space="preserve"> </w:t>
      </w:r>
      <w:r>
        <w:t xml:space="preserve">[34] and time-series conformal prediction [35] generalize the framework to</w:t>
      </w:r>
      <w:r>
        <w:t xml:space="preserve"> </w:t>
      </w:r>
      <w:r>
        <w:t xml:space="preserve">arbitrary losses and to temporal data.</w:t>
      </w:r>
    </w:p>
    <w:p>
      <w:pPr>
        <w:pStyle w:val="BodyText"/>
        <w:jc w:val="both"/>
      </w:pPr>
      <w:r>
        <w:t xml:space="preserve">Several recent cardiac studies approach our question more closely. El Allam and</w:t>
      </w:r>
      <w:r>
        <w:t xml:space="preserve"> </w:t>
      </w:r>
      <w:r>
        <w:t xml:space="preserve">Hamlich calibrate label-conditional Mondrian conformal prediction on</w:t>
      </w:r>
      <w:r>
        <w:t xml:space="preserve"> </w:t>
      </w:r>
      <w:r>
        <w:t xml:space="preserve">patient-disjoint PTB-XL partitions, showing that calibration has to match the</w:t>
      </w:r>
      <w:r>
        <w:t xml:space="preserve"> </w:t>
      </w:r>
      <w:r>
        <w:t xml:space="preserve">quantized model that is actually deployed [8], and they extend conformal</w:t>
      </w:r>
      <w:r>
        <w:t xml:space="preserve"> </w:t>
      </w:r>
      <w:r>
        <w:t xml:space="preserve">inference to wearables at the edge [9]. In PPG-based arrhythmia classification</w:t>
      </w:r>
      <w:r>
        <w:t xml:space="preserve"> </w:t>
      </w:r>
      <w:r>
        <w:t xml:space="preserve">in intensive care, Kinalioğlu finds that marginal coverage can conceal failures</w:t>
      </w:r>
      <w:r>
        <w:t xml:space="preserve"> </w:t>
      </w:r>
      <w:r>
        <w:t xml:space="preserve">for particular classes and patients [10]. Nearest to the present work, Sim and</w:t>
      </w:r>
      <w:r>
        <w:t xml:space="preserve"> </w:t>
      </w:r>
      <w:r>
        <w:t xml:space="preserve">Kim show that in ECG monitoring the false-alarm guarantee of split conformal</w:t>
      </w:r>
      <w:r>
        <w:t xml:space="preserve"> </w:t>
      </w:r>
      <w:r>
        <w:t xml:space="preserve">prediction is governed by the number of exchangeable subjects rather than of</w:t>
      </w:r>
      <w:r>
        <w:t xml:space="preserve"> </w:t>
      </w:r>
      <w:r>
        <w:t xml:space="preserve">beats, so that too few calibration subjects push the realized false-alarm rate</w:t>
      </w:r>
      <w:r>
        <w:t xml:space="preserve"> </w:t>
      </w:r>
      <w:r>
        <w:t xml:space="preserve">up and the guarantee must attach to the same unit that raises alarms [11].</w:t>
      </w:r>
      <w:r>
        <w:t xml:space="preserve"> </w:t>
      </w:r>
      <w:r>
        <w:t xml:space="preserve">Beyond cardiology, group-aware conformal calibration has been used for patients</w:t>
      </w:r>
      <w:r>
        <w:t xml:space="preserve"> </w:t>
      </w:r>
      <w:r>
        <w:t xml:space="preserve">nested in thousands of hospitals [36].</w:t>
      </w:r>
    </w:p>
    <w:p>
      <w:pPr>
        <w:pStyle w:val="BodyText"/>
        <w:jc w:val="both"/>
      </w:pPr>
      <w:r>
        <w:rPr>
          <w:b/>
          <w:bCs/>
        </w:rPr>
        <w:t xml:space="preserve">Position of this study.</w:t>
      </w:r>
      <w:r>
        <w:t xml:space="preserve"> </w:t>
      </w:r>
      <w:r>
        <w:t xml:space="preserve">The studies above check whether a procedure reaches</w:t>
      </w:r>
      <w:r>
        <w:t xml:space="preserve"> </w:t>
      </w:r>
      <w:r>
        <w:t xml:space="preserve">its target on a given split. We pose two prior questions: is a block-level</w:t>
      </w:r>
      <w:r>
        <w:t xml:space="preserve"> </w:t>
      </w:r>
      <w:r>
        <w:t xml:space="preserve">guarantee feasible once every declared dependence source — crossed sources and</w:t>
      </w:r>
      <w:r>
        <w:t xml:space="preserve"> </w:t>
      </w:r>
      <w:r>
        <w:t xml:space="preserve">label-level conditioning included — is respected, and does ignoring block</w:t>
      </w:r>
      <w:r>
        <w:t xml:space="preserve"> </w:t>
      </w:r>
      <w:r>
        <w:t xml:space="preserve">structure cost coverage once the mechanical effect of the finite-block</w:t>
      </w:r>
      <w:r>
        <w:t xml:space="preserve"> </w:t>
      </w:r>
      <w:r>
        <w:t xml:space="preserve">correction is accounted for? What we contribute is an audit of design-stage</w:t>
      </w:r>
      <w:r>
        <w:t xml:space="preserve"> </w:t>
      </w:r>
      <w:r>
        <w:t xml:space="preserve">feasibility and of the attribution of coverage loss, rather than a new conformal</w:t>
      </w:r>
      <w:r>
        <w:t xml:space="preserve"> </w:t>
      </w:r>
      <w:r>
        <w:t xml:space="preserve">procedure.</w:t>
      </w:r>
    </w:p>
    <w:bookmarkEnd w:id="14"/>
    <w:bookmarkEnd w:id="15"/>
    <w:bookmarkStart w:id="23" w:name="problem-formulation-and-hcp-feasibility"/>
    <w:p>
      <w:pPr>
        <w:pStyle w:val="Heading1"/>
      </w:pPr>
      <w:r>
        <w:t xml:space="preserve">3. Problem Formulation and HCP Feasibility</w:t>
      </w:r>
    </w:p>
    <w:p>
      <w:pPr>
        <w:pStyle w:val="FirstParagraph"/>
        <w:jc w:val="both"/>
      </w:pPr>
      <w:r>
        <w:t xml:space="preserve">The notation in §3.1 follows Lee et al. [13] and is restated rather than</w:t>
      </w:r>
      <w:r>
        <w:t xml:space="preserve"> </w:t>
      </w:r>
      <w:r>
        <w:t xml:space="preserve">claimed. Sections 3.2–3.4 build three feasibility diagnostics from established</w:t>
      </w:r>
      <w:r>
        <w:t xml:space="preserve"> </w:t>
      </w:r>
      <w:r>
        <w:t xml:space="preserve">results and cite each source where it is used, so that borrowed tools stay</w:t>
      </w:r>
      <w:r>
        <w:t xml:space="preserve"> </w:t>
      </w:r>
      <w:r>
        <w:t xml:space="preserve">distinct from findings.</w:t>
      </w:r>
    </w:p>
    <w:bookmarkStart w:id="16" w:name="hierarchical-calibration"/>
    <w:p>
      <w:pPr>
        <w:pStyle w:val="Heading2"/>
      </w:pPr>
      <w:r>
        <w:t xml:space="preserve">3.1 Hierarchical calibration</w:t>
      </w:r>
    </w:p>
    <w:p>
      <w:pPr>
        <w:pStyle w:val="FirstParagraph"/>
        <w:jc w:val="both"/>
      </w:pPr>
      <w:r>
        <w:t xml:space="preserve">Calibration data are organized in</w:t>
      </w:r>
      <w:r>
        <w:t xml:space="preserve"> </w:t>
      </w:r>
      <m:oMath>
        <m:r>
          <m:t>K</m:t>
        </m:r>
      </m:oMath>
      <w:r>
        <w:t xml:space="preserve"> </w:t>
      </w:r>
      <w:r>
        <w:t xml:space="preserve">blocks: block</w:t>
      </w:r>
      <w:r>
        <w:t xml:space="preserve"> </w:t>
      </w:r>
      <m:oMath>
        <m:r>
          <m:t>k</m:t>
        </m:r>
      </m:oMath>
      <w:r>
        <w:t xml:space="preserve"> </w:t>
      </w:r>
      <w:r>
        <w:t xml:space="preserve">contains</w:t>
      </w:r>
      <w:r>
        <w:t xml:space="preserve"> </w:t>
      </w:r>
      <m:oMath>
        <m:sSub>
          <m:e>
            <m:r>
              <m:t>N</m:t>
            </m:r>
          </m:e>
          <m:sub>
            <m:r>
              <m:t>k</m:t>
            </m:r>
          </m:sub>
        </m:sSub>
      </m:oMath>
      <w:r>
        <w:t xml:space="preserve"> </w:t>
      </w:r>
      <w:r>
        <w:t xml:space="preserve">observations</w:t>
      </w:r>
      <w:r>
        <w:t xml:space="preserve"> </w:t>
      </w:r>
      <m:oMath>
        <m:sSub>
          <m:e>
            <m:r>
              <m:t>Z</m:t>
            </m:r>
          </m:e>
          <m:sub>
            <m:r>
              <m:t>k</m:t>
            </m:r>
            <m:r>
              <m:rPr>
                <m:sty m:val="p"/>
              </m:rPr>
              <m:t>,</m:t>
            </m:r>
            <m:r>
              <m:t>1</m:t>
            </m:r>
          </m:sub>
        </m:sSub>
        <m:r>
          <m:rPr>
            <m:sty m:val="p"/>
          </m:rPr>
          <m:t>,</m:t>
        </m:r>
        <m:r>
          <m:rPr>
            <m:sty m:val="p"/>
          </m:rPr>
          <m:t>…</m:t>
        </m:r>
        <m:r>
          <m:rPr>
            <m:sty m:val="p"/>
          </m:rPr>
          <m:t>,</m:t>
        </m:r>
        <m:sSub>
          <m:e>
            <m:r>
              <m:t>Z</m:t>
            </m:r>
          </m:e>
          <m:sub>
            <m:r>
              <m:t>k</m:t>
            </m:r>
            <m:r>
              <m:rPr>
                <m:sty m:val="p"/>
              </m:rPr>
              <m:t>,</m:t>
            </m:r>
            <m:sSub>
              <m:e>
                <m:r>
                  <m:t>N</m:t>
                </m:r>
              </m:e>
              <m:sub>
                <m:r>
                  <m:t>k</m:t>
                </m:r>
              </m:sub>
            </m:sSub>
          </m:sub>
        </m:sSub>
      </m:oMath>
      <w:r>
        <w:t xml:space="preserve">, the total is</w:t>
      </w:r>
      <w:r>
        <w:t xml:space="preserve"> </w:t>
      </w:r>
      <m:oMath>
        <m:r>
          <m:t>n</m:t>
        </m:r>
        <m:r>
          <m:rPr>
            <m:sty m:val="p"/>
          </m:rPr>
          <m:t>=</m:t>
        </m:r>
        <m:nary>
          <m:naryPr>
            <m:chr m:val="∑"/>
            <m:limLoc m:val="undOvr"/>
            <m:subHide m:val="off"/>
            <m:supHide m:val="on"/>
          </m:naryPr>
          <m:sub>
            <m:r>
              <m:t>k</m:t>
            </m:r>
          </m:sub>
          <m:sup>
            <m:r>
              <m:t>​</m:t>
            </m:r>
          </m:sup>
          <m:e>
            <m:sSub>
              <m:e>
                <m:r>
                  <m:t>N</m:t>
                </m:r>
              </m:e>
              <m:sub>
                <m:r>
                  <m:t>k</m:t>
                </m:r>
              </m:sub>
            </m:sSub>
          </m:e>
        </m:nary>
      </m:oMath>
      <w:r>
        <w:t xml:space="preserve">, and</w:t>
      </w:r>
      <w:r>
        <w:t xml:space="preserve"> </w:t>
      </w:r>
      <m:oMath>
        <m:r>
          <m:t>H</m:t>
        </m:r>
      </m:oMath>
      <w:r>
        <w:t xml:space="preserve"> </w:t>
      </w:r>
      <w:r>
        <w:t xml:space="preserve">is the</w:t>
      </w:r>
      <w:r>
        <w:t xml:space="preserve"> </w:t>
      </w:r>
      <w:r>
        <w:t xml:space="preserve">harmonic mean of the</w:t>
      </w:r>
      <w:r>
        <w:t xml:space="preserve"> </w:t>
      </w:r>
      <m:oMath>
        <m:sSub>
          <m:e>
            <m:r>
              <m:t>N</m:t>
            </m:r>
          </m:e>
          <m:sub>
            <m:r>
              <m:t>k</m:t>
            </m:r>
          </m:sub>
        </m:sSub>
      </m:oMath>
      <w:r>
        <w:t xml:space="preserve">. In this study a block is usually a patient and an</w:t>
      </w:r>
      <w:r>
        <w:t xml:space="preserve"> </w:t>
      </w:r>
      <w:r>
        <w:t xml:space="preserve">observation a 10-second recording, although nothing in the framework depends on</w:t>
      </w:r>
      <w:r>
        <w:t xml:space="preserve"> </w:t>
      </w:r>
      <w:r>
        <w:t xml:space="preserve">how blocks are defined. Lee et al. [13] show that nesting observations within</w:t>
      </w:r>
      <w:r>
        <w:t xml:space="preserve"> </w:t>
      </w:r>
      <w:r>
        <w:t xml:space="preserve">groups breaks ordinary exchangeability and replace it with hierarchical</w:t>
      </w:r>
      <w:r>
        <w:t xml:space="preserve"> </w:t>
      </w:r>
      <w:r>
        <w:t xml:space="preserve">exchangeability: blocks are exchangeable among themselves and observations are</w:t>
      </w:r>
      <w:r>
        <w:t xml:space="preserve"> </w:t>
      </w:r>
      <w:r>
        <w:t xml:space="preserve">exchangeable within a block, while the pooled sample is not.</w:t>
      </w:r>
    </w:p>
    <w:p>
      <w:pPr>
        <w:pStyle w:val="BodyText"/>
        <w:jc w:val="both"/>
      </w:pPr>
      <w:r>
        <w:t xml:space="preserve">Fix a nonconformity score</w:t>
      </w:r>
      <w:r>
        <w:t xml:space="preserve"> </w:t>
      </w:r>
      <m:oMath>
        <m:r>
          <m:t>s</m:t>
        </m:r>
        <m:r>
          <m:rPr>
            <m:sty m:val="p"/>
          </m:rPr>
          <m:t>(</m:t>
        </m:r>
        <m:r>
          <m:rPr>
            <m:sty m:val="p"/>
          </m:rPr>
          <m:t>⋅</m:t>
        </m:r>
        <m:r>
          <m:rPr>
            <m:sty m:val="p"/>
          </m:rPr>
          <m:t>)</m:t>
        </m:r>
      </m:oMath>
      <w:r>
        <w:t xml:space="preserve"> </w:t>
      </w:r>
      <w:r>
        <w:t xml:space="preserve">independently of the calibration data, set</w:t>
      </w:r>
      <w:r>
        <w:t xml:space="preserve"> </w:t>
      </w:r>
      <m:oMath>
        <m:sSub>
          <m:e>
            <m:r>
              <m:t>s</m:t>
            </m:r>
          </m:e>
          <m:sub>
            <m:r>
              <m:t>k</m:t>
            </m:r>
            <m:r>
              <m:rPr>
                <m:sty m:val="p"/>
              </m:rPr>
              <m:t>,</m:t>
            </m:r>
            <m:r>
              <m:t>i</m:t>
            </m:r>
          </m:sub>
        </m:sSub>
        <m:r>
          <m:rPr>
            <m:sty m:val="p"/>
          </m:rPr>
          <m:t>=</m:t>
        </m:r>
        <m:r>
          <m:t>s</m:t>
        </m:r>
        <m:r>
          <m:rPr>
            <m:sty m:val="p"/>
          </m:rPr>
          <m:t>(</m:t>
        </m:r>
        <m:sSub>
          <m:e>
            <m:r>
              <m:t>Z</m:t>
            </m:r>
          </m:e>
          <m:sub>
            <m:r>
              <m:t>k</m:t>
            </m:r>
            <m:r>
              <m:rPr>
                <m:sty m:val="p"/>
              </m:rPr>
              <m:t>,</m:t>
            </m:r>
            <m:r>
              <m:t>i</m:t>
            </m:r>
          </m:sub>
        </m:sSub>
        <m:r>
          <m:rPr>
            <m:sty m:val="p"/>
          </m:rPr>
          <m:t>)</m:t>
        </m:r>
      </m:oMath>
      <w:r>
        <w:t xml:space="preserve">, and denote by</w:t>
      </w:r>
      <w:r>
        <w:t xml:space="preserve"> </w:t>
      </w:r>
      <m:oMath>
        <m:sSub>
          <m:e>
            <m:r>
              <m:t>Q</m:t>
            </m:r>
          </m:e>
          <m:sub>
            <m:r>
              <m:t>β</m:t>
            </m:r>
          </m:sub>
        </m:sSub>
        <m:r>
          <m:rPr>
            <m:sty m:val="p"/>
          </m:rPr>
          <m:t>(</m:t>
        </m:r>
        <m:r>
          <m:t>F</m:t>
        </m:r>
        <m:r>
          <m:rPr>
            <m:sty m:val="p"/>
          </m:rPr>
          <m:t>)</m:t>
        </m:r>
        <m:r>
          <m:rPr>
            <m:sty m:val="p"/>
          </m:rPr>
          <m:t>=</m:t>
        </m:r>
        <m:r>
          <m:rPr>
            <m:sty m:val="p"/>
          </m:rPr>
          <m:t>inf</m:t>
        </m:r>
        <m:r>
          <m:rPr>
            <m:sty m:val="p"/>
          </m:rPr>
          <m:t>{</m:t>
        </m:r>
        <m:r>
          <m:t>t</m:t>
        </m:r>
        <m:r>
          <m:rPr>
            <m:sty m:val="p"/>
          </m:rPr>
          <m:t>:</m:t>
        </m:r>
        <m:r>
          <m:t>F</m:t>
        </m:r>
        <m:r>
          <m:rPr>
            <m:sty m:val="p"/>
          </m:rPr>
          <m:t>(</m:t>
        </m:r>
        <m:r>
          <m:t>t</m:t>
        </m:r>
        <m:r>
          <m:rPr>
            <m:sty m:val="p"/>
          </m:rPr>
          <m:t>)</m:t>
        </m:r>
        <m:r>
          <m:rPr>
            <m:sty m:val="p"/>
          </m:rPr>
          <m:t>≥</m:t>
        </m:r>
        <m:r>
          <m:t>β</m:t>
        </m:r>
        <m:r>
          <m:rPr>
            <m:sty m:val="p"/>
          </m:rPr>
          <m:t>}</m:t>
        </m:r>
      </m:oMath>
      <w:r>
        <w:t xml:space="preserve"> </w:t>
      </w:r>
      <w:r>
        <w:t xml:space="preserve">the lower</w:t>
      </w:r>
      <w:r>
        <w:t xml:space="preserve"> </w:t>
      </w:r>
      <m:oMath>
        <m:r>
          <m:t>β</m:t>
        </m:r>
      </m:oMath>
      <w:r>
        <w:t xml:space="preserve">-quantile of a distribution</w:t>
      </w:r>
      <w:r>
        <w:t xml:space="preserve"> </w:t>
      </w:r>
      <m:oMath>
        <m:r>
          <m:t>F</m:t>
        </m:r>
      </m:oMath>
      <w:r>
        <w:t xml:space="preserve"> </w:t>
      </w:r>
      <w:r>
        <w:t xml:space="preserve">on</w:t>
      </w:r>
      <w:r>
        <w:t xml:space="preserve"> </w:t>
      </w:r>
      <m:oMath>
        <m:r>
          <m:rPr>
            <m:scr m:val="double-struck"/>
            <m:sty m:val="p"/>
          </m:rPr>
          <m:t>R</m:t>
        </m:r>
        <m:r>
          <m:rPr>
            <m:sty m:val="p"/>
          </m:rPr>
          <m:t>∪</m:t>
        </m:r>
        <m:r>
          <m:rPr>
            <m:sty m:val="p"/>
          </m:rPr>
          <m:t>{</m:t>
        </m:r>
        <m:r>
          <m:rPr>
            <m:sty m:val="p"/>
          </m:rPr>
          <m:t>+</m:t>
        </m:r>
        <m:r>
          <m:rPr>
            <m:sty m:val="p"/>
          </m:rPr>
          <m:t>∞</m:t>
        </m:r>
        <m:r>
          <m:rPr>
            <m:sty m:val="p"/>
          </m:rPr>
          <m:t>}</m:t>
        </m:r>
      </m:oMath>
      <w:r>
        <w:t xml:space="preserve">. For</w:t>
      </w:r>
      <w:r>
        <w:t xml:space="preserve"> </w:t>
      </w:r>
      <m:oMath>
        <m:sSub>
          <m:e>
            <m:r>
              <m:t>K</m:t>
            </m:r>
          </m:e>
          <m:sub>
            <m:r>
              <m:t>1</m:t>
            </m:r>
          </m:sub>
        </m:sSub>
      </m:oMath>
      <w:r>
        <w:t xml:space="preserve"> </w:t>
      </w:r>
      <w:r>
        <w:t xml:space="preserve">calibration blocks, the HCP threshold is</w:t>
      </w:r>
    </w:p>
    <w:p>
      <w:pPr>
        <w:pStyle w:val="BodyText"/>
      </w:pPr>
      <m:oMathPara>
        <m:oMathParaPr>
          <m:jc m:val="center"/>
        </m:oMathParaPr>
        <m:oMath>
          <m:acc>
            <m:accPr>
              <m:chr m:val="̂"/>
            </m:accPr>
            <m:e>
              <m:r>
                <m:t>T</m:t>
              </m:r>
            </m:e>
          </m:acc>
          <m:r>
            <m:t> </m:t>
          </m:r>
          <m:r>
            <m:rPr>
              <m:sty m:val="p"/>
            </m:rPr>
            <m:t>=</m:t>
          </m:r>
          <m:r>
            <m:t> </m:t>
          </m:r>
          <m:sSub>
            <m:e>
              <m:r>
                <m:t>Q</m:t>
              </m:r>
            </m:e>
            <m:sub>
              <m:r>
                <m:t>1</m:t>
              </m:r>
              <m:r>
                <m:rPr>
                  <m:sty m:val="p"/>
                </m:rPr>
                <m:t>−</m:t>
              </m:r>
              <m:r>
                <m:t>α</m:t>
              </m:r>
            </m:sub>
          </m:sSub>
          <m:r>
            <m:t>​</m:t>
          </m:r>
          <m:d>
            <m:dPr>
              <m:begChr m:val="("/>
              <m:sepChr m:val=""/>
              <m:endChr m:val=")"/>
              <m:grow/>
            </m:dPr>
            <m:e>
              <m:nary>
                <m:naryPr>
                  <m:chr m:val="∑"/>
                  <m:limLoc m:val="undOvr"/>
                  <m:subHide m:val="off"/>
                  <m:supHide m:val="off"/>
                </m:naryPr>
                <m:sub>
                  <m:r>
                    <m:t>k</m:t>
                  </m:r>
                  <m:r>
                    <m:rPr>
                      <m:sty m:val="p"/>
                    </m:rPr>
                    <m:t>=</m:t>
                  </m:r>
                  <m:r>
                    <m:t>1</m:t>
                  </m:r>
                </m:sub>
                <m:sup>
                  <m:sSub>
                    <m:e>
                      <m:r>
                        <m:t>K</m:t>
                      </m:r>
                    </m:e>
                    <m:sub>
                      <m:r>
                        <m:t>1</m:t>
                      </m:r>
                    </m:sub>
                  </m:sSub>
                </m:sup>
                <m:e>
                  <m:nary>
                    <m:naryPr>
                      <m:chr m:val="∑"/>
                      <m:limLoc m:val="undOvr"/>
                      <m:subHide m:val="off"/>
                      <m:supHide m:val="off"/>
                    </m:naryPr>
                    <m:sub>
                      <m:r>
                        <m:t>i</m:t>
                      </m:r>
                      <m:r>
                        <m:rPr>
                          <m:sty m:val="p"/>
                        </m:rPr>
                        <m:t>=</m:t>
                      </m:r>
                      <m:r>
                        <m:t>1</m:t>
                      </m:r>
                    </m:sub>
                    <m:sup>
                      <m:sSub>
                        <m:e>
                          <m:r>
                            <m:t>N</m:t>
                          </m:r>
                        </m:e>
                        <m:sub>
                          <m:r>
                            <m:t>k</m:t>
                          </m:r>
                        </m:sub>
                      </m:sSub>
                    </m:sup>
                    <m:e>
                      <m:f>
                        <m:fPr>
                          <m:type m:val="bar"/>
                        </m:fPr>
                        <m:num>
                          <m:r>
                            <m:t>1</m:t>
                          </m:r>
                        </m:num>
                        <m:den>
                          <m:r>
                            <m:rPr>
                              <m:sty m:val="p"/>
                            </m:rPr>
                            <m:t>(</m:t>
                          </m:r>
                          <m:sSub>
                            <m:e>
                              <m:r>
                                <m:t>K</m:t>
                              </m:r>
                            </m:e>
                            <m:sub>
                              <m:r>
                                <m:t>1</m:t>
                              </m:r>
                            </m:sub>
                          </m:sSub>
                          <m:r>
                            <m:rPr>
                              <m:sty m:val="p"/>
                            </m:rPr>
                            <m:t>+</m:t>
                          </m:r>
                          <m:r>
                            <m:t>1</m:t>
                          </m:r>
                          <m:r>
                            <m:rPr>
                              <m:sty m:val="p"/>
                            </m:rPr>
                            <m:t>)</m:t>
                          </m:r>
                          <m:sSub>
                            <m:e>
                              <m:r>
                                <m:t>N</m:t>
                              </m:r>
                            </m:e>
                            <m:sub>
                              <m:r>
                                <m:t>k</m:t>
                              </m:r>
                            </m:sub>
                          </m:sSub>
                        </m:den>
                      </m:f>
                    </m:e>
                  </m:nary>
                </m:e>
              </m:nary>
              <m:r>
                <m:t> </m:t>
              </m:r>
              <m:sSub>
                <m:e>
                  <m:r>
                    <m:t>δ</m:t>
                  </m:r>
                </m:e>
                <m:sub>
                  <m:sSub>
                    <m:e>
                      <m:r>
                        <m:t>s</m:t>
                      </m:r>
                    </m:e>
                    <m:sub>
                      <m:r>
                        <m:t>k</m:t>
                      </m:r>
                      <m:r>
                        <m:rPr>
                          <m:sty m:val="p"/>
                        </m:rPr>
                        <m:t>,</m:t>
                      </m:r>
                      <m:r>
                        <m:t>i</m:t>
                      </m:r>
                    </m:sub>
                  </m:sSub>
                </m:sub>
              </m:sSub>
              <m:r>
                <m:t> </m:t>
              </m:r>
              <m:r>
                <m:rPr>
                  <m:sty m:val="p"/>
                </m:rPr>
                <m:t>+</m:t>
              </m:r>
              <m:r>
                <m:t> </m:t>
              </m:r>
              <m:f>
                <m:fPr>
                  <m:type m:val="bar"/>
                </m:fPr>
                <m:num>
                  <m:r>
                    <m:t>1</m:t>
                  </m:r>
                </m:num>
                <m:den>
                  <m:sSub>
                    <m:e>
                      <m:r>
                        <m:t>K</m:t>
                      </m:r>
                    </m:e>
                    <m:sub>
                      <m:r>
                        <m:t>1</m:t>
                      </m:r>
                    </m:sub>
                  </m:sSub>
                  <m:r>
                    <m:rPr>
                      <m:sty m:val="p"/>
                    </m:rPr>
                    <m:t>+</m:t>
                  </m:r>
                  <m:r>
                    <m:t>1</m:t>
                  </m:r>
                </m:den>
              </m:f>
              <m:r>
                <m:t> </m:t>
              </m:r>
              <m:sSub>
                <m:e>
                  <m:r>
                    <m:t>δ</m:t>
                  </m:r>
                </m:e>
                <m:sub>
                  <m:r>
                    <m:rPr>
                      <m:sty m:val="p"/>
                    </m:rPr>
                    <m:t>+</m:t>
                  </m:r>
                  <m:r>
                    <m:rPr>
                      <m:sty m:val="p"/>
                    </m:rPr>
                    <m:t>∞</m:t>
                  </m:r>
                </m:sub>
              </m:sSub>
            </m:e>
          </m:d>
          <m:r>
            <m:rPr>
              <m:sty m:val="p"/>
            </m:rPr>
            <m:t>.</m:t>
          </m:r>
          <m:r>
            <m:t>  </m:t>
          </m:r>
          <m:r>
            <m:rPr>
              <m:nor/>
              <m:sty m:val="p"/>
            </m:rPr>
            <m:t>(1)</m:t>
          </m:r>
        </m:oMath>
      </m:oMathPara>
    </w:p>
    <w:p>
      <w:pPr>
        <w:pStyle w:val="FirstParagraph"/>
        <w:jc w:val="both"/>
      </w:pPr>
      <w:r>
        <w:t xml:space="preserve">Every block receives the same total mass</w:t>
      </w:r>
      <w:r>
        <w:t xml:space="preserve"> </w:t>
      </w:r>
      <m:oMath>
        <m:r>
          <m:t>1</m:t>
        </m:r>
        <m:r>
          <m:rPr>
            <m:sty m:val="p"/>
          </m:rPr>
          <m:t>/</m:t>
        </m:r>
        <m:r>
          <m:rPr>
            <m:sty m:val="p"/>
          </m:rPr>
          <m:t>(</m:t>
        </m:r>
        <m:sSub>
          <m:e>
            <m:r>
              <m:t>K</m:t>
            </m:r>
          </m:e>
          <m:sub>
            <m:r>
              <m:t>1</m:t>
            </m:r>
          </m:sub>
        </m:sSub>
        <m:r>
          <m:rPr>
            <m:sty m:val="p"/>
          </m:rPr>
          <m:t>+</m:t>
        </m:r>
        <m:r>
          <m:t>1</m:t>
        </m:r>
        <m:r>
          <m:rPr>
            <m:sty m:val="p"/>
          </m:rPr>
          <m:t>)</m:t>
        </m:r>
      </m:oMath>
      <w:r>
        <w:t xml:space="preserve">, split evenly over its</w:t>
      </w:r>
      <w:r>
        <w:t xml:space="preserve"> </w:t>
      </w:r>
      <m:oMath>
        <m:sSub>
          <m:e>
            <m:r>
              <m:t>N</m:t>
            </m:r>
          </m:e>
          <m:sub>
            <m:r>
              <m:t>k</m:t>
            </m:r>
          </m:sub>
        </m:sSub>
      </m:oMath>
      <w:r>
        <w:t xml:space="preserve"> </w:t>
      </w:r>
      <w:r>
        <w:t xml:space="preserve">observations, and a further</w:t>
      </w:r>
      <w:r>
        <w:t xml:space="preserve"> </w:t>
      </w:r>
      <m:oMath>
        <m:r>
          <m:t>1</m:t>
        </m:r>
        <m:r>
          <m:rPr>
            <m:sty m:val="p"/>
          </m:rPr>
          <m:t>/</m:t>
        </m:r>
        <m:r>
          <m:rPr>
            <m:sty m:val="p"/>
          </m:rPr>
          <m:t>(</m:t>
        </m:r>
        <m:sSub>
          <m:e>
            <m:r>
              <m:t>K</m:t>
            </m:r>
          </m:e>
          <m:sub>
            <m:r>
              <m:t>1</m:t>
            </m:r>
          </m:sub>
        </m:sSub>
        <m:r>
          <m:rPr>
            <m:sty m:val="p"/>
          </m:rPr>
          <m:t>+</m:t>
        </m:r>
        <m:r>
          <m:t>1</m:t>
        </m:r>
        <m:r>
          <m:rPr>
            <m:sty m:val="p"/>
          </m:rPr>
          <m:t>)</m:t>
        </m:r>
      </m:oMath>
      <w:r>
        <w:t xml:space="preserve"> </w:t>
      </w:r>
      <w:r>
        <w:t xml:space="preserve">is placed at</w:t>
      </w:r>
      <w:r>
        <w:t xml:space="preserve"> </w:t>
      </w:r>
      <m:oMath>
        <m:r>
          <m:rPr>
            <m:sty m:val="p"/>
          </m:rPr>
          <m:t>+</m:t>
        </m:r>
        <m:r>
          <m:rPr>
            <m:sty m:val="p"/>
          </m:rPr>
          <m:t>∞</m:t>
        </m:r>
      </m:oMath>
      <w:r>
        <w:t xml:space="preserve">; this is the cost</w:t>
      </w:r>
      <w:r>
        <w:t xml:space="preserve"> </w:t>
      </w:r>
      <w:r>
        <w:t xml:space="preserve">of not knowing in advance which block the test point comes from. When the test</w:t>
      </w:r>
      <w:r>
        <w:t xml:space="preserve"> </w:t>
      </w:r>
      <w:r>
        <w:t xml:space="preserve">point belongs to a block not seen during calibration, Lee et al. [13, Th. 1]</w:t>
      </w:r>
      <w:r>
        <w:t xml:space="preserve"> </w:t>
      </w:r>
      <w:r>
        <w:t xml:space="preserve">establish</w:t>
      </w:r>
    </w:p>
    <w:p>
      <w:pPr>
        <w:pStyle w:val="BodyText"/>
      </w:pPr>
      <m:oMathPara>
        <m:oMathParaPr>
          <m:jc m:val="center"/>
        </m:oMathParaPr>
        <m:oMath>
          <m:r>
            <m:t>1</m:t>
          </m:r>
          <m:r>
            <m:rPr>
              <m:sty m:val="p"/>
            </m:rPr>
            <m:t>−</m:t>
          </m:r>
          <m:r>
            <m:t>α</m:t>
          </m:r>
          <m:r>
            <m:t> </m:t>
          </m:r>
          <m:r>
            <m:rPr>
              <m:sty m:val="p"/>
            </m:rPr>
            <m:t>≤</m:t>
          </m:r>
          <m:r>
            <m:t> </m:t>
          </m:r>
          <m:r>
            <m:rPr>
              <m:scr m:val="double-struck"/>
              <m:sty m:val="p"/>
            </m:rPr>
            <m:t>P</m:t>
          </m:r>
          <m:r>
            <m:rPr>
              <m:sty m:val="p"/>
            </m:rPr>
            <m:t>{</m:t>
          </m:r>
          <m:sSub>
            <m:e>
              <m:r>
                <m:t>Y</m:t>
              </m:r>
            </m:e>
            <m:sub>
              <m:r>
                <m:rPr>
                  <m:nor/>
                  <m:sty m:val="p"/>
                </m:rPr>
                <m:t>test</m:t>
              </m:r>
            </m:sub>
          </m:sSub>
          <m:r>
            <m:rPr>
              <m:sty m:val="p"/>
            </m:rPr>
            <m:t>∈</m:t>
          </m:r>
          <m:acc>
            <m:accPr>
              <m:chr m:val="̂"/>
            </m:accPr>
            <m:e>
              <m:r>
                <m:t>C</m:t>
              </m:r>
            </m:e>
          </m:acc>
          <m:r>
            <m:rPr>
              <m:sty m:val="p"/>
            </m:rPr>
            <m:t>(</m:t>
          </m:r>
          <m:sSub>
            <m:e>
              <m:r>
                <m:t>X</m:t>
              </m:r>
            </m:e>
            <m:sub>
              <m:r>
                <m:rPr>
                  <m:nor/>
                  <m:sty m:val="p"/>
                </m:rPr>
                <m:t>test</m:t>
              </m:r>
            </m:sub>
          </m:sSub>
          <m:r>
            <m:rPr>
              <m:sty m:val="p"/>
            </m:rPr>
            <m:t>)</m:t>
          </m:r>
          <m:r>
            <m:rPr>
              <m:sty m:val="p"/>
            </m:rPr>
            <m:t>}</m:t>
          </m:r>
          <m:r>
            <m:t> </m:t>
          </m:r>
          <m:r>
            <m:rPr>
              <m:sty m:val="p"/>
            </m:rPr>
            <m:t>≤</m:t>
          </m:r>
          <m:r>
            <m:t> </m:t>
          </m:r>
          <m:r>
            <m:t>1</m:t>
          </m:r>
          <m:r>
            <m:rPr>
              <m:sty m:val="p"/>
            </m:rPr>
            <m:t>−</m:t>
          </m:r>
          <m:r>
            <m:t>α</m:t>
          </m:r>
          <m:r>
            <m:rPr>
              <m:sty m:val="p"/>
            </m:rPr>
            <m:t>+</m:t>
          </m:r>
          <m:f>
            <m:fPr>
              <m:type m:val="bar"/>
            </m:fPr>
            <m:num>
              <m:r>
                <m:t>2</m:t>
              </m:r>
            </m:num>
            <m:den>
              <m:sSub>
                <m:e>
                  <m:r>
                    <m:t>K</m:t>
                  </m:r>
                </m:e>
                <m:sub>
                  <m:r>
                    <m:t>1</m:t>
                  </m:r>
                </m:sub>
              </m:sSub>
              <m:r>
                <m:rPr>
                  <m:sty m:val="p"/>
                </m:rPr>
                <m:t>+</m:t>
              </m:r>
              <m:r>
                <m:t>1</m:t>
              </m:r>
            </m:den>
          </m:f>
          <m:r>
            <m:rPr>
              <m:sty m:val="p"/>
            </m:rPr>
            <m:t>.</m:t>
          </m:r>
          <m:r>
            <m:t>  </m:t>
          </m:r>
          <m:r>
            <m:rPr>
              <m:nor/>
              <m:sty m:val="p"/>
            </m:rPr>
            <m:t>(2)</m:t>
          </m:r>
        </m:oMath>
      </m:oMathPara>
    </w:p>
    <w:bookmarkEnd w:id="16"/>
    <w:bookmarkStart w:id="17" w:name="finite-threshold-feasibility"/>
    <w:p>
      <w:pPr>
        <w:pStyle w:val="Heading2"/>
      </w:pPr>
      <w:r>
        <w:t xml:space="preserve">3.2 Finite-threshold feasibility</w:t>
      </w:r>
    </w:p>
    <w:p>
      <w:pPr>
        <w:pStyle w:val="FirstParagraph"/>
        <w:jc w:val="both"/>
      </w:pPr>
      <w:r>
        <w:t xml:space="preserve">Once</w:t>
      </w:r>
      <w:r>
        <w:t xml:space="preserve"> </w:t>
      </w:r>
      <m:oMath>
        <m:sSub>
          <m:e>
            <m:r>
              <m:t>K</m:t>
            </m:r>
          </m:e>
          <m:sub>
            <m:r>
              <m:t>1</m:t>
            </m:r>
          </m:sub>
        </m:sSub>
      </m:oMath>
      <w:r>
        <w:t xml:space="preserve">,</w:t>
      </w:r>
      <w:r>
        <w:t xml:space="preserve"> </w:t>
      </w:r>
      <m:oMath>
        <m:r>
          <m:rPr>
            <m:sty m:val="p"/>
          </m:rPr>
          <m:t>{</m:t>
        </m:r>
        <m:sSub>
          <m:e>
            <m:r>
              <m:t>N</m:t>
            </m:r>
          </m:e>
          <m:sub>
            <m:r>
              <m:t>k</m:t>
            </m:r>
          </m:sub>
        </m:sSub>
        <m:r>
          <m:rPr>
            <m:sty m:val="p"/>
          </m:rPr>
          <m:t>}</m:t>
        </m:r>
      </m:oMath>
      <w:r>
        <w:t xml:space="preserve"> </w:t>
      </w:r>
      <w:r>
        <w:t xml:space="preserve">and</w:t>
      </w:r>
      <w:r>
        <w:t xml:space="preserve"> </w:t>
      </w:r>
      <m:oMath>
        <m:r>
          <m:t>α</m:t>
        </m:r>
      </m:oMath>
      <w:r>
        <w:t xml:space="preserve"> </w:t>
      </w:r>
      <w:r>
        <w:t xml:space="preserve">are fixed, (1) determines the threshold, but it</w:t>
      </w:r>
      <w:r>
        <w:t xml:space="preserve"> </w:t>
      </w:r>
      <w:r>
        <w:t xml:space="preserve">does not reveal whether the resulting guarantee is informative.</w:t>
      </w:r>
    </w:p>
    <w:p>
      <w:pPr>
        <w:pStyle w:val="BodyText"/>
      </w:pPr>
      <w:r>
        <w:rPr>
          <w:b/>
          <w:bCs/>
        </w:rPr>
        <w:t xml:space="preserve">Proposition 1 (feasibility).</w:t>
      </w:r>
      <w:r>
        <w:t xml:space="preserve"> </w:t>
      </w:r>
      <m:oMath>
        <m:acc>
          <m:accPr>
            <m:chr m:val="̂"/>
          </m:accPr>
          <m:e>
            <m:r>
              <m:t>T</m:t>
            </m:r>
          </m:e>
        </m:acc>
        <m:r>
          <m:rPr>
            <m:sty m:val="p"/>
          </m:rPr>
          <m:t>&lt;</m:t>
        </m:r>
        <m:r>
          <m:rPr>
            <m:sty m:val="p"/>
          </m:rPr>
          <m:t>∞</m:t>
        </m:r>
      </m:oMath>
      <w:r>
        <w:t xml:space="preserve"> </w:t>
      </w:r>
      <w:r>
        <w:t xml:space="preserve">if and only if</w:t>
      </w:r>
    </w:p>
    <w:p>
      <w:pPr>
        <w:pStyle w:val="BodyText"/>
      </w:pPr>
      <m:oMathPara>
        <m:oMathParaPr>
          <m:jc m:val="center"/>
        </m:oMathParaPr>
        <m:oMath>
          <m:r>
            <m:t>α</m:t>
          </m:r>
          <m:r>
            <m:t> </m:t>
          </m:r>
          <m:r>
            <m:rPr>
              <m:sty m:val="p"/>
            </m:rPr>
            <m:t>≥</m:t>
          </m:r>
          <m:r>
            <m:t> </m:t>
          </m:r>
          <m:f>
            <m:fPr>
              <m:type m:val="bar"/>
            </m:fPr>
            <m:num>
              <m:r>
                <m:t>1</m:t>
              </m:r>
            </m:num>
            <m:den>
              <m:sSub>
                <m:e>
                  <m:r>
                    <m:t>K</m:t>
                  </m:r>
                </m:e>
                <m:sub>
                  <m:r>
                    <m:t>1</m:t>
                  </m:r>
                </m:sub>
              </m:sSub>
              <m:r>
                <m:rPr>
                  <m:sty m:val="p"/>
                </m:rPr>
                <m:t>+</m:t>
              </m:r>
              <m:r>
                <m:t>1</m:t>
              </m:r>
            </m:den>
          </m:f>
          <m:r>
            <m:rPr>
              <m:sty m:val="p"/>
            </m:rPr>
            <m:t>.</m:t>
          </m:r>
          <m:r>
            <m:t>  </m:t>
          </m:r>
          <m:r>
            <m:rPr>
              <m:nor/>
              <m:sty m:val="p"/>
            </m:rPr>
            <m:t>(3)</m:t>
          </m:r>
        </m:oMath>
      </m:oMathPara>
    </w:p>
    <w:p>
      <w:pPr>
        <w:pStyle w:val="FirstParagraph"/>
        <w:jc w:val="both"/>
      </w:pPr>
      <w:r>
        <w:rPr>
          <w:i/>
          <w:iCs/>
        </w:rPr>
        <w:t xml:space="preserve">Proof.</w:t>
      </w:r>
      <w:r>
        <w:t xml:space="preserve"> </w:t>
      </w:r>
      <w:r>
        <w:t xml:space="preserve">The finite atoms in (1) carry total mass</w:t>
      </w:r>
      <w:r>
        <w:t xml:space="preserve"> </w:t>
      </w:r>
      <m:oMath>
        <m:nary>
          <m:naryPr>
            <m:chr m:val="∑"/>
            <m:limLoc m:val="undOvr"/>
            <m:subHide m:val="off"/>
            <m:supHide m:val="on"/>
          </m:naryPr>
          <m:sub>
            <m:r>
              <m:t>k</m:t>
            </m:r>
          </m:sub>
          <m:sup>
            <m:r>
              <m:t>​</m:t>
            </m:r>
          </m:sup>
          <m:e>
            <m:sSub>
              <m:e>
                <m:r>
                  <m:t>N</m:t>
                </m:r>
              </m:e>
              <m:sub>
                <m:r>
                  <m:t>k</m:t>
                </m:r>
              </m:sub>
            </m:sSub>
          </m:e>
        </m:nary>
        <m:r>
          <m:rPr>
            <m:sty m:val="p"/>
          </m:rPr>
          <m:t>/</m:t>
        </m:r>
        <m:r>
          <m:rPr>
            <m:sty m:val="p"/>
          </m:rPr>
          <m:t>{</m:t>
        </m:r>
        <m:r>
          <m:rPr>
            <m:sty m:val="p"/>
          </m:rPr>
          <m:t>(</m:t>
        </m:r>
        <m:sSub>
          <m:e>
            <m:r>
              <m:t>K</m:t>
            </m:r>
          </m:e>
          <m:sub>
            <m:r>
              <m:t>1</m:t>
            </m:r>
          </m:sub>
        </m:sSub>
        <m:r>
          <m:rPr>
            <m:sty m:val="p"/>
          </m:rPr>
          <m:t>+</m:t>
        </m:r>
        <m:r>
          <m:t>1</m:t>
        </m:r>
        <m:r>
          <m:rPr>
            <m:sty m:val="p"/>
          </m:rPr>
          <m:t>)</m:t>
        </m:r>
        <m:sSub>
          <m:e>
            <m:r>
              <m:t>N</m:t>
            </m:r>
          </m:e>
          <m:sub>
            <m:r>
              <m:t>k</m:t>
            </m:r>
          </m:sub>
        </m:sSub>
        <m:r>
          <m:rPr>
            <m:sty m:val="p"/>
          </m:rPr>
          <m:t>}</m:t>
        </m:r>
        <m:r>
          <m:rPr>
            <m:sty m:val="p"/>
          </m:rPr>
          <m:t>=</m:t>
        </m:r>
        <m:sSub>
          <m:e>
            <m:r>
              <m:t>K</m:t>
            </m:r>
          </m:e>
          <m:sub>
            <m:r>
              <m:t>1</m:t>
            </m:r>
          </m:sub>
        </m:sSub>
        <m:r>
          <m:rPr>
            <m:sty m:val="p"/>
          </m:rPr>
          <m:t>/</m:t>
        </m:r>
        <m:r>
          <m:rPr>
            <m:sty m:val="p"/>
          </m:rPr>
          <m:t>(</m:t>
        </m:r>
        <m:sSub>
          <m:e>
            <m:r>
              <m:t>K</m:t>
            </m:r>
          </m:e>
          <m:sub>
            <m:r>
              <m:t>1</m:t>
            </m:r>
          </m:sub>
        </m:sSub>
        <m:r>
          <m:rPr>
            <m:sty m:val="p"/>
          </m:rPr>
          <m:t>+</m:t>
        </m:r>
        <m:r>
          <m:t>1</m:t>
        </m:r>
        <m:r>
          <m:rPr>
            <m:sty m:val="p"/>
          </m:rPr>
          <m:t>)</m:t>
        </m:r>
      </m:oMath>
      <w:r>
        <w:t xml:space="preserve">, so the weighted CDF</w:t>
      </w:r>
      <w:r>
        <w:t xml:space="preserve"> </w:t>
      </w:r>
      <m:oMath>
        <m:acc>
          <m:accPr>
            <m:chr m:val="̂"/>
          </m:accPr>
          <m:e>
            <m:r>
              <m:t>F</m:t>
            </m:r>
          </m:e>
        </m:acc>
      </m:oMath>
      <w:r>
        <w:t xml:space="preserve"> </w:t>
      </w:r>
      <w:r>
        <w:t xml:space="preserve">in (1)</w:t>
      </w:r>
      <w:r>
        <w:t xml:space="preserve"> </w:t>
      </w:r>
      <w:r>
        <w:t xml:space="preserve">satisfies</w:t>
      </w:r>
      <w:r>
        <w:t xml:space="preserve"> </w:t>
      </w:r>
      <m:oMath>
        <m:acc>
          <m:accPr>
            <m:chr m:val="̂"/>
          </m:accPr>
          <m:e>
            <m:r>
              <m:t>F</m:t>
            </m:r>
          </m:e>
        </m:acc>
        <m:r>
          <m:rPr>
            <m:sty m:val="p"/>
          </m:rPr>
          <m:t>(</m:t>
        </m:r>
        <m:r>
          <m:t>t</m:t>
        </m:r>
        <m:r>
          <m:rPr>
            <m:sty m:val="p"/>
          </m:rPr>
          <m:t>)</m:t>
        </m:r>
        <m:r>
          <m:rPr>
            <m:sty m:val="p"/>
          </m:rPr>
          <m:t>≤</m:t>
        </m:r>
        <m:sSub>
          <m:e>
            <m:r>
              <m:t>K</m:t>
            </m:r>
          </m:e>
          <m:sub>
            <m:r>
              <m:t>1</m:t>
            </m:r>
          </m:sub>
        </m:sSub>
        <m:r>
          <m:rPr>
            <m:sty m:val="p"/>
          </m:rPr>
          <m:t>/</m:t>
        </m:r>
        <m:r>
          <m:rPr>
            <m:sty m:val="p"/>
          </m:rPr>
          <m:t>(</m:t>
        </m:r>
        <m:sSub>
          <m:e>
            <m:r>
              <m:t>K</m:t>
            </m:r>
          </m:e>
          <m:sub>
            <m:r>
              <m:t>1</m:t>
            </m:r>
          </m:sub>
        </m:sSub>
        <m:r>
          <m:rPr>
            <m:sty m:val="p"/>
          </m:rPr>
          <m:t>+</m:t>
        </m:r>
        <m:r>
          <m:t>1</m:t>
        </m:r>
        <m:r>
          <m:rPr>
            <m:sty m:val="p"/>
          </m:rPr>
          <m:t>)</m:t>
        </m:r>
      </m:oMath>
      <w:r>
        <w:t xml:space="preserve"> </w:t>
      </w:r>
      <w:r>
        <w:t xml:space="preserve">for every finite</w:t>
      </w:r>
      <w:r>
        <w:t xml:space="preserve"> </w:t>
      </w:r>
      <m:oMath>
        <m:r>
          <m:t>t</m:t>
        </m:r>
      </m:oMath>
      <w:r>
        <w:t xml:space="preserve">, with equality at</w:t>
      </w:r>
      <w:r>
        <w:t xml:space="preserve"> </w:t>
      </w:r>
      <m:oMath>
        <m:r>
          <m:t>t</m:t>
        </m:r>
        <m:r>
          <m:rPr>
            <m:sty m:val="p"/>
          </m:rPr>
          <m:t>=</m:t>
        </m:r>
        <m:r>
          <m:t>M</m:t>
        </m:r>
        <m:r>
          <m:rPr>
            <m:sty m:val="p"/>
          </m:rPr>
          <m:t>=</m:t>
        </m:r>
        <m:sSub>
          <m:e>
            <m:r>
              <m:rPr>
                <m:sty m:val="p"/>
              </m:rPr>
              <m:t>max</m:t>
            </m:r>
          </m:e>
          <m:sub>
            <m:r>
              <m:t>k</m:t>
            </m:r>
            <m:r>
              <m:rPr>
                <m:sty m:val="p"/>
              </m:rPr>
              <m:t>,</m:t>
            </m:r>
            <m:r>
              <m:t>i</m:t>
            </m:r>
          </m:sub>
        </m:sSub>
        <m:sSub>
          <m:e>
            <m:r>
              <m:t>s</m:t>
            </m:r>
          </m:e>
          <m:sub>
            <m:r>
              <m:t>k</m:t>
            </m:r>
            <m:r>
              <m:rPr>
                <m:sty m:val="p"/>
              </m:rPr>
              <m:t>,</m:t>
            </m:r>
            <m:r>
              <m:t>i</m:t>
            </m:r>
          </m:sub>
        </m:sSub>
      </m:oMath>
      <w:r>
        <w:t xml:space="preserve">. Since</w:t>
      </w:r>
      <w:r>
        <w:t xml:space="preserve"> </w:t>
      </w:r>
      <m:oMath>
        <m:sSub>
          <m:e>
            <m:r>
              <m:t>Q</m:t>
            </m:r>
          </m:e>
          <m:sub>
            <m:r>
              <m:t>1</m:t>
            </m:r>
            <m:r>
              <m:rPr>
                <m:sty m:val="p"/>
              </m:rPr>
              <m:t>−</m:t>
            </m:r>
            <m:r>
              <m:t>α</m:t>
            </m:r>
          </m:sub>
        </m:sSub>
        <m:r>
          <m:rPr>
            <m:sty m:val="p"/>
          </m:rPr>
          <m:t>(</m:t>
        </m:r>
        <m:acc>
          <m:accPr>
            <m:chr m:val="̂"/>
          </m:accPr>
          <m:e>
            <m:r>
              <m:t>F</m:t>
            </m:r>
          </m:e>
        </m:acc>
        <m:r>
          <m:rPr>
            <m:sty m:val="p"/>
          </m:rPr>
          <m:t>)</m:t>
        </m:r>
        <m:r>
          <m:rPr>
            <m:sty m:val="p"/>
          </m:rPr>
          <m:t>=</m:t>
        </m:r>
        <m:r>
          <m:rPr>
            <m:sty m:val="p"/>
          </m:rPr>
          <m:t>inf</m:t>
        </m:r>
        <m:r>
          <m:rPr>
            <m:sty m:val="p"/>
          </m:rPr>
          <m:t>{</m:t>
        </m:r>
        <m:r>
          <m:t>t</m:t>
        </m:r>
        <m:r>
          <m:rPr>
            <m:sty m:val="p"/>
          </m:rPr>
          <m:t>:</m:t>
        </m:r>
        <m:acc>
          <m:accPr>
            <m:chr m:val="̂"/>
          </m:accPr>
          <m:e>
            <m:r>
              <m:t>F</m:t>
            </m:r>
          </m:e>
        </m:acc>
        <m:r>
          <m:rPr>
            <m:sty m:val="p"/>
          </m:rPr>
          <m:t>(</m:t>
        </m:r>
        <m:r>
          <m:t>t</m:t>
        </m:r>
        <m:r>
          <m:rPr>
            <m:sty m:val="p"/>
          </m:rPr>
          <m:t>)</m:t>
        </m:r>
        <m:r>
          <m:rPr>
            <m:sty m:val="p"/>
          </m:rPr>
          <m:t>≥</m:t>
        </m:r>
        <m:r>
          <m:t>1</m:t>
        </m:r>
        <m:r>
          <m:rPr>
            <m:sty m:val="p"/>
          </m:rPr>
          <m:t>−</m:t>
        </m:r>
        <m:r>
          <m:t>α</m:t>
        </m:r>
        <m:r>
          <m:rPr>
            <m:sty m:val="p"/>
          </m:rPr>
          <m:t>}</m:t>
        </m:r>
      </m:oMath>
      <w:r>
        <w:t xml:space="preserve">,</w:t>
      </w:r>
      <w:r>
        <w:t xml:space="preserve"> </w:t>
      </w:r>
      <w:r>
        <w:t xml:space="preserve">the threshold is finite iff</w:t>
      </w:r>
      <w:r>
        <w:t xml:space="preserve"> </w:t>
      </w:r>
      <m:oMath>
        <m:sSub>
          <m:e>
            <m:r>
              <m:t>K</m:t>
            </m:r>
          </m:e>
          <m:sub>
            <m:r>
              <m:t>1</m:t>
            </m:r>
          </m:sub>
        </m:sSub>
        <m:r>
          <m:rPr>
            <m:sty m:val="p"/>
          </m:rPr>
          <m:t>/</m:t>
        </m:r>
        <m:r>
          <m:rPr>
            <m:sty m:val="p"/>
          </m:rPr>
          <m:t>(</m:t>
        </m:r>
        <m:sSub>
          <m:e>
            <m:r>
              <m:t>K</m:t>
            </m:r>
          </m:e>
          <m:sub>
            <m:r>
              <m:t>1</m:t>
            </m:r>
          </m:sub>
        </m:sSub>
        <m:r>
          <m:rPr>
            <m:sty m:val="p"/>
          </m:rPr>
          <m:t>+</m:t>
        </m:r>
        <m:r>
          <m:t>1</m:t>
        </m:r>
        <m:r>
          <m:rPr>
            <m:sty m:val="p"/>
          </m:rPr>
          <m:t>)</m:t>
        </m:r>
        <m:r>
          <m:rPr>
            <m:sty m:val="p"/>
          </m:rPr>
          <m:t>≥</m:t>
        </m:r>
        <m:r>
          <m:t>1</m:t>
        </m:r>
        <m:r>
          <m:rPr>
            <m:sty m:val="p"/>
          </m:rPr>
          <m:t>−</m:t>
        </m:r>
        <m:r>
          <m:t>α</m:t>
        </m:r>
      </m:oMath>
      <w:r>
        <w:t xml:space="preserve">. ∎</w:t>
      </w:r>
    </w:p>
    <w:p>
      <w:pPr>
        <w:pStyle w:val="BodyText"/>
        <w:jc w:val="both"/>
      </w:pPr>
      <w:r>
        <w:t xml:space="preserve">If (3) is violated,</w:t>
      </w:r>
      <w:r>
        <w:t xml:space="preserve"> </w:t>
      </w:r>
      <m:oMath>
        <m:acc>
          <m:accPr>
            <m:chr m:val="̂"/>
          </m:accPr>
          <m:e>
            <m:r>
              <m:t>C</m:t>
            </m:r>
          </m:e>
        </m:acc>
        <m:r>
          <m:rPr>
            <m:sty m:val="p"/>
          </m:rPr>
          <m:t>(</m:t>
        </m:r>
        <m:r>
          <m:t>X</m:t>
        </m:r>
        <m:r>
          <m:rPr>
            <m:sty m:val="p"/>
          </m:rPr>
          <m:t>)</m:t>
        </m:r>
        <m:r>
          <m:rPr>
            <m:sty m:val="p"/>
          </m:rPr>
          <m:t>=</m:t>
        </m:r>
        <m:r>
          <m:rPr>
            <m:scr m:val="script"/>
            <m:sty m:val="p"/>
          </m:rPr>
          <m:t>L</m:t>
        </m:r>
      </m:oMath>
      <w:r>
        <w:t xml:space="preserve"> </w:t>
      </w:r>
      <w:r>
        <w:t xml:space="preserve">for every input and (2) is satisfied</w:t>
      </w:r>
      <w:r>
        <w:t xml:space="preserve"> </w:t>
      </w:r>
      <w:r>
        <w:t xml:space="preserve">only vacuously. Proposition 1 recasts a consequence of the</w:t>
      </w:r>
      <w:r>
        <w:t xml:space="preserve"> </w:t>
      </w:r>
      <m:oMath>
        <m:r>
          <m:rPr>
            <m:sty m:val="p"/>
          </m:rPr>
          <m:t>+</m:t>
        </m:r>
        <m:r>
          <m:rPr>
            <m:sty m:val="p"/>
          </m:rPr>
          <m:t>∞</m:t>
        </m:r>
      </m:oMath>
      <w:r>
        <w:t xml:space="preserve"> </w:t>
      </w:r>
      <w:r>
        <w:t xml:space="preserve">atom in</w:t>
      </w:r>
      <w:r>
        <w:t xml:space="preserve"> </w:t>
      </w:r>
      <w:r>
        <w:t xml:space="preserve">Theorem 1 of [13] so that it can be checked from metadata; we claim nothing</w:t>
      </w:r>
      <w:r>
        <w:t xml:space="preserve"> </w:t>
      </w:r>
      <w:r>
        <w:t xml:space="preserve">further. Three of its properties matter for the audit. Since</w:t>
      </w:r>
      <w:r>
        <w:t xml:space="preserve"> </w:t>
      </w:r>
      <m:oMath>
        <m:sSub>
          <m:e>
            <m:r>
              <m:t>N</m:t>
            </m:r>
          </m:e>
          <m:sub>
            <m:r>
              <m:t>k</m:t>
            </m:r>
          </m:sub>
        </m:sSub>
      </m:oMath>
      <w:r>
        <w:t xml:space="preserve"> </w:t>
      </w:r>
      <w:r>
        <w:t xml:space="preserve">does not appear</w:t>
      </w:r>
      <w:r>
        <w:t xml:space="preserve"> </w:t>
      </w:r>
      <w:r>
        <w:t xml:space="preserve">in the bound, adding measurements to existing blocks never restores</w:t>
      </w:r>
      <w:r>
        <w:t xml:space="preserve"> </w:t>
      </w:r>
      <w:r>
        <w:t xml:space="preserve">feasibility. Since the inequality is not strict, a grouping lying exactly on the</w:t>
      </w:r>
      <w:r>
        <w:t xml:space="preserve"> </w:t>
      </w:r>
      <w:r>
        <w:t xml:space="preserve">boundary is still feasible (Appendix A.1). And when</w:t>
      </w:r>
      <w:r>
        <w:t xml:space="preserve"> </w:t>
      </w:r>
      <m:oMath>
        <m:sSub>
          <m:e>
            <m:r>
              <m:t>N</m:t>
            </m:r>
          </m:e>
          <m:sub>
            <m:r>
              <m:t>k</m:t>
            </m:r>
          </m:sub>
        </m:sSub>
        <m:r>
          <m:rPr>
            <m:sty m:val="p"/>
          </m:rPr>
          <m:t>=</m:t>
        </m:r>
        <m:r>
          <m:t>1</m:t>
        </m:r>
      </m:oMath>
      <w:r>
        <w:t xml:space="preserve"> </w:t>
      </w:r>
      <w:r>
        <w:t xml:space="preserve">throughout, the bound</w:t>
      </w:r>
      <w:r>
        <w:t xml:space="preserve"> </w:t>
      </w:r>
      <w:r>
        <w:t xml:space="preserve">collapses to the familiar split-conformal condition</w:t>
      </w:r>
      <w:r>
        <w:t xml:space="preserve"> </w:t>
      </w:r>
      <m:oMath>
        <m:r>
          <m:t>n</m:t>
        </m:r>
        <m:r>
          <m:rPr>
            <m:sty m:val="p"/>
          </m:rPr>
          <m:t>≥</m:t>
        </m:r>
        <m:r>
          <m:t>1</m:t>
        </m:r>
        <m:r>
          <m:rPr>
            <m:sty m:val="p"/>
          </m:rPr>
          <m:t>/</m:t>
        </m:r>
        <m:r>
          <m:t>α</m:t>
        </m:r>
        <m:r>
          <m:rPr>
            <m:sty m:val="p"/>
          </m:rPr>
          <m:t>−</m:t>
        </m:r>
        <m:r>
          <m:t>1</m:t>
        </m:r>
      </m:oMath>
      <w:r>
        <w:t xml:space="preserve">, which we</w:t>
      </w:r>
      <w:r>
        <w:t xml:space="preserve"> </w:t>
      </w:r>
      <w:r>
        <w:t xml:space="preserve">also confirmed numerically.</w:t>
      </w:r>
    </w:p>
    <w:p>
      <w:pPr>
        <w:pStyle w:val="BodyText"/>
        <w:jc w:val="both"/>
      </w:pPr>
      <w:r>
        <w:rPr>
          <w:b/>
          <w:bCs/>
        </w:rPr>
        <w:t xml:space="preserve">Corollary 1.</w:t>
      </w:r>
      <w:r>
        <w:t xml:space="preserve"> </w:t>
      </w:r>
      <w:r>
        <w:t xml:space="preserve">The minimum number of calibration blocks is</w:t>
      </w:r>
      <w:r>
        <w:t xml:space="preserve"> </w:t>
      </w:r>
      <m:oMath>
        <m:sSub>
          <m:e>
            <m:r>
              <m:t>K</m:t>
            </m:r>
          </m:e>
          <m:sub>
            <m:r>
              <m:rPr>
                <m:sty m:val="p"/>
              </m:rPr>
              <m:t>min</m:t>
            </m:r>
          </m:sub>
        </m:sSub>
        <m:r>
          <m:rPr>
            <m:sty m:val="p"/>
          </m:rPr>
          <m:t>(</m:t>
        </m:r>
        <m:r>
          <m:t>α</m:t>
        </m:r>
        <m:r>
          <m:rPr>
            <m:sty m:val="p"/>
          </m:rPr>
          <m:t>)</m:t>
        </m:r>
        <m:r>
          <m:rPr>
            <m:sty m:val="p"/>
          </m:rPr>
          <m:t>=</m:t>
        </m:r>
        <m:r>
          <m:rPr>
            <m:sty m:val="p"/>
          </m:rPr>
          <m:t>⌈</m:t>
        </m:r>
        <m:r>
          <m:t>1</m:t>
        </m:r>
        <m:r>
          <m:rPr>
            <m:sty m:val="p"/>
          </m:rPr>
          <m:t>/</m:t>
        </m:r>
        <m:r>
          <m:t>α</m:t>
        </m:r>
        <m:r>
          <m:rPr>
            <m:sty m:val="p"/>
          </m:rPr>
          <m:t>⌉</m:t>
        </m:r>
        <m:r>
          <m:rPr>
            <m:sty m:val="p"/>
          </m:rPr>
          <m:t>−</m:t>
        </m:r>
        <m:r>
          <m:t>1</m:t>
        </m:r>
      </m:oMath>
      <w:r>
        <w:t xml:space="preserve">; at</w:t>
      </w:r>
      <w:r>
        <w:t xml:space="preserve"> </w:t>
      </w:r>
      <m:oMath>
        <m:r>
          <m:t>α</m:t>
        </m:r>
        <m:r>
          <m:rPr>
            <m:sty m:val="p"/>
          </m:rPr>
          <m:t>=</m:t>
        </m:r>
        <m:r>
          <m:t>0.05</m:t>
        </m:r>
      </m:oMath>
      <w:r>
        <w:t xml:space="preserve"> </w:t>
      </w:r>
      <w:r>
        <w:t xml:space="preserve">this is 19, not 20.</w:t>
      </w:r>
    </w:p>
    <w:p>
      <w:pPr>
        <w:pStyle w:val="BodyText"/>
        <w:jc w:val="both"/>
      </w:pPr>
      <w:r>
        <w:rPr>
          <w:b/>
          <w:bCs/>
        </w:rPr>
        <w:t xml:space="preserve">Precision.</w:t>
      </w:r>
      <w:r>
        <w:t xml:space="preserve"> </w:t>
      </w:r>
      <w:r>
        <w:t xml:space="preserve">Unlike feasibility, precision depends on distributional</w:t>
      </w:r>
      <w:r>
        <w:t xml:space="preserve"> </w:t>
      </w:r>
      <w:r>
        <w:t xml:space="preserve">assumptions. It requires Assumption (A): blocks are independent and</w:t>
      </w:r>
      <w:r>
        <w:t xml:space="preserve"> </w:t>
      </w:r>
      <w:r>
        <w:t xml:space="preserve">identically distributed, and any two indicators</w:t>
      </w:r>
      <w:r>
        <w:t xml:space="preserve"> </w:t>
      </w:r>
      <m:oMath>
        <m:r>
          <m:rPr>
            <m:scr m:val="double-struck"/>
            <m:sty m:val="p"/>
          </m:rPr>
          <m:t>1</m:t>
        </m:r>
        <m:r>
          <m:rPr>
            <m:sty m:val="p"/>
          </m:rPr>
          <m:t>{</m:t>
        </m:r>
        <m:r>
          <m:t>s</m:t>
        </m:r>
        <m:r>
          <m:rPr>
            <m:sty m:val="p"/>
          </m:rPr>
          <m:t>≤</m:t>
        </m:r>
        <m:r>
          <m:t>t</m:t>
        </m:r>
        <m:r>
          <m:rPr>
            <m:sty m:val="p"/>
          </m:rPr>
          <m:t>}</m:t>
        </m:r>
      </m:oMath>
      <w:r>
        <w:t xml:space="preserve"> </w:t>
      </w:r>
      <w:r>
        <w:t xml:space="preserve">within one</w:t>
      </w:r>
      <w:r>
        <w:t xml:space="preserve"> </w:t>
      </w:r>
      <w:r>
        <w:t xml:space="preserve">block share a correlation</w:t>
      </w:r>
      <w:r>
        <w:t xml:space="preserve"> </w:t>
      </w:r>
      <m:oMath>
        <m:r>
          <m:t>ρ</m:t>
        </m:r>
        <m:r>
          <m:rPr>
            <m:sty m:val="p"/>
          </m:rPr>
          <m:t>(</m:t>
        </m:r>
        <m:r>
          <m:t>t</m:t>
        </m:r>
        <m:r>
          <m:rPr>
            <m:sty m:val="p"/>
          </m:rPr>
          <m:t>)</m:t>
        </m:r>
      </m:oMath>
      <w:r>
        <w:t xml:space="preserve"> </w:t>
      </w:r>
      <w:r>
        <w:t xml:space="preserve">that does not vary with</w:t>
      </w:r>
      <w:r>
        <w:t xml:space="preserve"> </w:t>
      </w:r>
      <m:oMath>
        <m:sSub>
          <m:e>
            <m:r>
              <m:t>N</m:t>
            </m:r>
          </m:e>
          <m:sub>
            <m:r>
              <m:t>k</m:t>
            </m:r>
          </m:sub>
        </m:sSub>
      </m:oMath>
      <w:r>
        <w:t xml:space="preserve"> </w:t>
      </w:r>
      <w:r>
        <w:t xml:space="preserve">(compound</w:t>
      </w:r>
      <w:r>
        <w:t xml:space="preserve"> </w:t>
      </w:r>
      <w:r>
        <w:t xml:space="preserve">symmetry). The quantity</w:t>
      </w:r>
      <w:r>
        <w:t xml:space="preserve"> </w:t>
      </w:r>
      <m:oMath>
        <m:r>
          <m:t>ρ</m:t>
        </m:r>
        <m:r>
          <m:rPr>
            <m:sty m:val="p"/>
          </m:rPr>
          <m:t>(</m:t>
        </m:r>
        <m:r>
          <m:t>t</m:t>
        </m:r>
        <m:r>
          <m:rPr>
            <m:sty m:val="p"/>
          </m:rPr>
          <m:t>)</m:t>
        </m:r>
      </m:oMath>
      <w:r>
        <w:t xml:space="preserve"> </w:t>
      </w:r>
      <w:r>
        <w:t xml:space="preserve">is thus the intraclass correlation of the</w:t>
      </w:r>
      <w:r>
        <w:t xml:space="preserve"> </w:t>
      </w:r>
      <w:r>
        <w:t xml:space="preserve">indicator at threshold</w:t>
      </w:r>
      <w:r>
        <w:t xml:space="preserve"> </w:t>
      </w:r>
      <m:oMath>
        <m:r>
          <m:t>t</m:t>
        </m:r>
      </m:oMath>
      <w:r>
        <w:t xml:space="preserve"> </w:t>
      </w:r>
      <w:r>
        <w:t xml:space="preserve">rather than of the raw score. The HCP threshold is a</w:t>
      </w:r>
      <w:r>
        <w:t xml:space="preserve"> </w:t>
      </w:r>
      <w:r>
        <w:t xml:space="preserve">functional of</w:t>
      </w:r>
      <w:r>
        <w:t xml:space="preserve"> </w:t>
      </w:r>
      <m:oMath>
        <m:acc>
          <m:accPr>
            <m:chr m:val="̂"/>
          </m:accPr>
          <m:e>
            <m:r>
              <m:t>G</m:t>
            </m:r>
          </m:e>
        </m:acc>
        <m:r>
          <m:rPr>
            <m:sty m:val="p"/>
          </m:rPr>
          <m:t>(</m:t>
        </m:r>
        <m:r>
          <m:t>t</m:t>
        </m:r>
        <m:r>
          <m:rPr>
            <m:sty m:val="p"/>
          </m:rPr>
          <m:t>)</m:t>
        </m:r>
        <m:r>
          <m:rPr>
            <m:sty m:val="p"/>
          </m:rPr>
          <m:t>=</m:t>
        </m:r>
        <m:f>
          <m:fPr>
            <m:type m:val="bar"/>
          </m:fPr>
          <m:num>
            <m:r>
              <m:t>1</m:t>
            </m:r>
          </m:num>
          <m:den>
            <m:sSub>
              <m:e>
                <m:r>
                  <m:t>K</m:t>
                </m:r>
              </m:e>
              <m:sub>
                <m:r>
                  <m:t>1</m:t>
                </m:r>
              </m:sub>
            </m:sSub>
          </m:den>
        </m:f>
        <m:nary>
          <m:naryPr>
            <m:chr m:val="∑"/>
            <m:limLoc m:val="undOvr"/>
            <m:subHide m:val="off"/>
            <m:supHide m:val="on"/>
          </m:naryPr>
          <m:sub>
            <m:r>
              <m:t>k</m:t>
            </m:r>
          </m:sub>
          <m:sup>
            <m:r>
              <m:t>​</m:t>
            </m:r>
          </m:sup>
          <m:e>
            <m:sSub>
              <m:e>
                <m:acc>
                  <m:accPr>
                    <m:chr m:val="‾"/>
                  </m:accPr>
                  <m:e>
                    <m:r>
                      <m:t>F</m:t>
                    </m:r>
                  </m:e>
                </m:acc>
              </m:e>
              <m:sub>
                <m:r>
                  <m:t>k</m:t>
                </m:r>
              </m:sub>
            </m:sSub>
          </m:e>
        </m:nary>
        <m:r>
          <m:rPr>
            <m:sty m:val="p"/>
          </m:rPr>
          <m:t>(</m:t>
        </m:r>
        <m:r>
          <m:t>t</m:t>
        </m:r>
        <m:r>
          <m:rPr>
            <m:sty m:val="p"/>
          </m:rPr>
          <m:t>)</m:t>
        </m:r>
      </m:oMath>
      <w:r>
        <w:t xml:space="preserve">, the unweighted average</w:t>
      </w:r>
      <w:r>
        <w:t xml:space="preserve"> </w:t>
      </w:r>
      <w:r>
        <w:t xml:space="preserve">of the block-level empirical CDFs, and under (A) its variance takes the textbook</w:t>
      </w:r>
      <w:r>
        <w:t xml:space="preserve"> </w:t>
      </w:r>
      <w:r>
        <w:t xml:space="preserve">form for an unweighted mean of cluster means [37],</w:t>
      </w:r>
      <w:r>
        <w:t xml:space="preserve"> </w:t>
      </w:r>
      <m:oMath>
        <m:sSup>
          <m:e>
            <m:r>
              <m:t>σ</m:t>
            </m:r>
          </m:e>
          <m:sup>
            <m:r>
              <m:t>2</m:t>
            </m:r>
          </m:sup>
        </m:sSup>
        <m:r>
          <m:rPr>
            <m:sty m:val="p"/>
          </m:rPr>
          <m:t>(</m:t>
        </m:r>
        <m:r>
          <m:t>t</m:t>
        </m:r>
        <m:r>
          <m:rPr>
            <m:sty m:val="p"/>
          </m:rPr>
          <m:t>)</m:t>
        </m:r>
        <m:r>
          <m:rPr>
            <m:sty m:val="p"/>
          </m:rPr>
          <m:t>[</m:t>
        </m:r>
        <m:r>
          <m:t>1</m:t>
        </m:r>
        <m:r>
          <m:rPr>
            <m:sty m:val="p"/>
          </m:rPr>
          <m:t>+</m:t>
        </m:r>
        <m:r>
          <m:rPr>
            <m:sty m:val="p"/>
          </m:rPr>
          <m:t>(</m:t>
        </m:r>
        <m:r>
          <m:t>H</m:t>
        </m:r>
        <m:r>
          <m:rPr>
            <m:sty m:val="p"/>
          </m:rPr>
          <m:t>−</m:t>
        </m:r>
        <m:r>
          <m:t>1</m:t>
        </m:r>
        <m:r>
          <m:rPr>
            <m:sty m:val="p"/>
          </m:rPr>
          <m:t>)</m:t>
        </m:r>
        <m:r>
          <m:t>ρ</m:t>
        </m:r>
        <m:r>
          <m:rPr>
            <m:sty m:val="p"/>
          </m:rPr>
          <m:t>(</m:t>
        </m:r>
        <m:r>
          <m:t>t</m:t>
        </m:r>
        <m:r>
          <m:rPr>
            <m:sty m:val="p"/>
          </m:rPr>
          <m:t>)</m:t>
        </m:r>
        <m:r>
          <m:rPr>
            <m:sty m:val="p"/>
          </m:rPr>
          <m:t>]</m:t>
        </m:r>
        <m:r>
          <m:rPr>
            <m:sty m:val="p"/>
          </m:rPr>
          <m:t>/</m:t>
        </m:r>
        <m:r>
          <m:rPr>
            <m:sty m:val="p"/>
          </m:rPr>
          <m:t>(</m:t>
        </m:r>
        <m:sSub>
          <m:e>
            <m:r>
              <m:t>K</m:t>
            </m:r>
          </m:e>
          <m:sub>
            <m:r>
              <m:t>1</m:t>
            </m:r>
          </m:sub>
        </m:sSub>
        <m:r>
          <m:t>H</m:t>
        </m:r>
        <m:r>
          <m:rPr>
            <m:sty m:val="p"/>
          </m:rPr>
          <m:t>)</m:t>
        </m:r>
      </m:oMath>
      <w:r>
        <w:t xml:space="preserve"> </w:t>
      </w:r>
      <w:r>
        <w:t xml:space="preserve">with</w:t>
      </w:r>
      <w:r>
        <w:t xml:space="preserve"> </w:t>
      </w:r>
      <m:oMath>
        <m:sSup>
          <m:e>
            <m:r>
              <m:t>σ</m:t>
            </m:r>
          </m:e>
          <m:sup>
            <m:r>
              <m:t>2</m:t>
            </m:r>
          </m:sup>
        </m:sSup>
        <m:r>
          <m:rPr>
            <m:sty m:val="p"/>
          </m:rPr>
          <m:t>(</m:t>
        </m:r>
        <m:r>
          <m:t>t</m:t>
        </m:r>
        <m:r>
          <m:rPr>
            <m:sty m:val="p"/>
          </m:rPr>
          <m:t>)</m:t>
        </m:r>
        <m:r>
          <m:rPr>
            <m:sty m:val="p"/>
          </m:rPr>
          <m:t>=</m:t>
        </m:r>
        <m:r>
          <m:t>F</m:t>
        </m:r>
        <m:r>
          <m:rPr>
            <m:sty m:val="p"/>
          </m:rPr>
          <m:t>(</m:t>
        </m:r>
        <m:r>
          <m:t>t</m:t>
        </m:r>
        <m:r>
          <m:rPr>
            <m:sty m:val="p"/>
          </m:rPr>
          <m:t>)</m:t>
        </m:r>
        <m:r>
          <m:rPr>
            <m:sty m:val="p"/>
          </m:rPr>
          <m:t>{</m:t>
        </m:r>
        <m:r>
          <m:t>1</m:t>
        </m:r>
        <m:r>
          <m:rPr>
            <m:sty m:val="p"/>
          </m:rPr>
          <m:t>−</m:t>
        </m:r>
        <m:r>
          <m:t>F</m:t>
        </m:r>
        <m:r>
          <m:rPr>
            <m:sty m:val="p"/>
          </m:rPr>
          <m:t>(</m:t>
        </m:r>
        <m:r>
          <m:t>t</m:t>
        </m:r>
        <m:r>
          <m:rPr>
            <m:sty m:val="p"/>
          </m:rPr>
          <m:t>)</m:t>
        </m:r>
        <m:r>
          <m:rPr>
            <m:sty m:val="p"/>
          </m:rPr>
          <m:t>}</m:t>
        </m:r>
      </m:oMath>
      <w:r>
        <w:t xml:space="preserve"> </w:t>
      </w:r>
      <w:r>
        <w:t xml:space="preserve">(Appendix A.2). That variance refers to a block-weighted estimator, whereas the</w:t>
      </w:r>
      <w:r>
        <w:t xml:space="preserve"> </w:t>
      </w:r>
      <w:r>
        <w:t xml:space="preserve">Kish effective sample size refers to an observation-weighted one, and the two</w:t>
      </w:r>
      <w:r>
        <w:t xml:space="preserve"> </w:t>
      </w:r>
      <w:r>
        <w:t xml:space="preserve">design effects agree only when all blocks have the same size:</w:t>
      </w:r>
    </w:p>
    <w:p>
      <w:pPr>
        <w:pStyle w:val="BodyText"/>
      </w:pPr>
      <m:oMathPara>
        <m:oMathParaPr>
          <m:jc m:val="center"/>
        </m:oMathParaPr>
        <m:oMath>
          <m:sSub>
            <m:e>
              <m:r>
                <m:rPr>
                  <m:sty m:val="p"/>
                </m:rPr>
                <m:t>D</m:t>
              </m:r>
              <m:r>
                <m:rPr>
                  <m:sty m:val="p"/>
                </m:rPr>
                <m:t>E</m:t>
              </m:r>
              <m:r>
                <m:rPr>
                  <m:sty m:val="p"/>
                </m:rPr>
                <m:t>f</m:t>
              </m:r>
              <m:r>
                <m:rPr>
                  <m:sty m:val="p"/>
                </m:rPr>
                <m:t>f</m:t>
              </m:r>
            </m:e>
            <m:sub>
              <m:r>
                <m:rPr>
                  <m:nor/>
                  <m:sty m:val="p"/>
                </m:rPr>
                <m:t>block</m:t>
              </m:r>
            </m:sub>
          </m:sSub>
          <m:r>
            <m:rPr>
              <m:sty m:val="p"/>
            </m:rPr>
            <m:t>(</m:t>
          </m:r>
          <m:r>
            <m:t>ρ</m:t>
          </m:r>
          <m:r>
            <m:rPr>
              <m:sty m:val="p"/>
            </m:rPr>
            <m:t>)</m:t>
          </m:r>
          <m:r>
            <m:rPr>
              <m:sty m:val="p"/>
            </m:rPr>
            <m:t>=</m:t>
          </m:r>
          <m:f>
            <m:fPr>
              <m:type m:val="bar"/>
            </m:fPr>
            <m:num>
              <m:r>
                <m:t>n</m:t>
              </m:r>
              <m:r>
                <m:rPr>
                  <m:sty m:val="p"/>
                </m:rPr>
                <m:t>[</m:t>
              </m:r>
              <m:r>
                <m:t>1</m:t>
              </m:r>
              <m:r>
                <m:rPr>
                  <m:sty m:val="p"/>
                </m:rPr>
                <m:t>+</m:t>
              </m:r>
              <m:r>
                <m:rPr>
                  <m:sty m:val="p"/>
                </m:rPr>
                <m:t>(</m:t>
              </m:r>
              <m:r>
                <m:t>H</m:t>
              </m:r>
              <m:r>
                <m:rPr>
                  <m:sty m:val="p"/>
                </m:rPr>
                <m:t>−</m:t>
              </m:r>
              <m:r>
                <m:t>1</m:t>
              </m:r>
              <m:r>
                <m:rPr>
                  <m:sty m:val="p"/>
                </m:rPr>
                <m:t>)</m:t>
              </m:r>
              <m:r>
                <m:t>ρ</m:t>
              </m:r>
              <m:r>
                <m:rPr>
                  <m:sty m:val="p"/>
                </m:rPr>
                <m:t>]</m:t>
              </m:r>
            </m:num>
            <m:den>
              <m:sSub>
                <m:e>
                  <m:r>
                    <m:t>K</m:t>
                  </m:r>
                </m:e>
                <m:sub>
                  <m:r>
                    <m:t>1</m:t>
                  </m:r>
                </m:sub>
              </m:sSub>
              <m:r>
                <m:t>H</m:t>
              </m:r>
            </m:den>
          </m:f>
          <m:r>
            <m:rPr>
              <m:sty m:val="p"/>
            </m:rPr>
            <m:t>,</m:t>
          </m:r>
          <m:r>
            <m:t>  </m:t>
          </m:r>
          <m:sSub>
            <m:e>
              <m:r>
                <m:rPr>
                  <m:sty m:val="p"/>
                </m:rPr>
                <m:t>D</m:t>
              </m:r>
              <m:r>
                <m:rPr>
                  <m:sty m:val="p"/>
                </m:rPr>
                <m:t>E</m:t>
              </m:r>
              <m:r>
                <m:rPr>
                  <m:sty m:val="p"/>
                </m:rPr>
                <m:t>f</m:t>
              </m:r>
              <m:r>
                <m:rPr>
                  <m:sty m:val="p"/>
                </m:rPr>
                <m:t>f</m:t>
              </m:r>
            </m:e>
            <m:sub>
              <m:r>
                <m:rPr>
                  <m:nor/>
                  <m:sty m:val="p"/>
                </m:rPr>
                <m:t>pooled</m:t>
              </m:r>
            </m:sub>
          </m:sSub>
          <m:r>
            <m:rPr>
              <m:sty m:val="p"/>
            </m:rPr>
            <m:t>(</m:t>
          </m:r>
          <m:r>
            <m:t>ρ</m:t>
          </m:r>
          <m:r>
            <m:rPr>
              <m:sty m:val="p"/>
            </m:rPr>
            <m:t>)</m:t>
          </m:r>
          <m:r>
            <m:rPr>
              <m:sty m:val="p"/>
            </m:rPr>
            <m:t>=</m:t>
          </m:r>
          <m:r>
            <m:t>1</m:t>
          </m:r>
          <m:r>
            <m:rPr>
              <m:sty m:val="p"/>
            </m:rPr>
            <m:t>+</m:t>
          </m:r>
          <m:d>
            <m:dPr>
              <m:begChr m:val="("/>
              <m:sepChr m:val=""/>
              <m:endChr m:val=")"/>
              <m:grow/>
            </m:dPr>
            <m:e>
              <m:f>
                <m:fPr>
                  <m:type m:val="bar"/>
                </m:fPr>
                <m:num>
                  <m:nary>
                    <m:naryPr>
                      <m:chr m:val="∑"/>
                      <m:limLoc m:val="undOvr"/>
                      <m:subHide m:val="off"/>
                      <m:supHide m:val="on"/>
                    </m:naryPr>
                    <m:sub>
                      <m:r>
                        <m:t>k</m:t>
                      </m:r>
                    </m:sub>
                    <m:sup>
                      <m:r>
                        <m:t>​</m:t>
                      </m:r>
                    </m:sup>
                    <m:e>
                      <m:sSubSup>
                        <m:e>
                          <m:r>
                            <m:t>N</m:t>
                          </m:r>
                        </m:e>
                        <m:sub>
                          <m:r>
                            <m:t>k</m:t>
                          </m:r>
                        </m:sub>
                        <m:sup>
                          <m:r>
                            <m:t>2</m:t>
                          </m:r>
                        </m:sup>
                      </m:sSubSup>
                    </m:e>
                  </m:nary>
                </m:num>
                <m:den>
                  <m:r>
                    <m:t>n</m:t>
                  </m:r>
                </m:den>
              </m:f>
              <m:r>
                <m:rPr>
                  <m:sty m:val="p"/>
                </m:rPr>
                <m:t>−</m:t>
              </m:r>
              <m:r>
                <m:t>1</m:t>
              </m:r>
            </m:e>
          </m:d>
          <m:r>
            <m:t>ρ</m:t>
          </m:r>
          <m:r>
            <m:rPr>
              <m:sty m:val="p"/>
            </m:rPr>
            <m:t>.</m:t>
          </m:r>
          <m:r>
            <m:t>  </m:t>
          </m:r>
          <m:r>
            <m:rPr>
              <m:nor/>
              <m:sty m:val="p"/>
            </m:rPr>
            <m:t>(4)</m:t>
          </m:r>
        </m:oMath>
      </m:oMathPara>
    </w:p>
    <w:p>
      <w:pPr>
        <w:pStyle w:val="FirstParagraph"/>
        <w:jc w:val="both"/>
      </w:pPr>
      <w:r>
        <w:t xml:space="preserve">The second expression is the usual design effect for clusters of unequal size.</w:t>
      </w:r>
      <w:r>
        <w:t xml:space="preserve"> </w:t>
      </w:r>
      <w:r>
        <w:t xml:space="preserve">In a cluster-randomized trial, equal weighting of cluster means is an inefficient</w:t>
      </w:r>
      <w:r>
        <w:t xml:space="preserve"> </w:t>
      </w:r>
      <w:r>
        <w:t xml:space="preserve">option that is usually replaced by minimum-variance weights [38], [39]; in HCP it</w:t>
      </w:r>
      <w:r>
        <w:t xml:space="preserve"> </w:t>
      </w:r>
      <w:r>
        <w:t xml:space="preserve">is built into the threshold, and abandoning it can invalidate the guarantee</w:t>
      </w:r>
      <w:r>
        <w:t xml:space="preserve"> </w:t>
      </w:r>
      <w:r>
        <w:t xml:space="preserve">(Appendix A.3).</w:t>
      </w:r>
    </w:p>
    <w:p>
      <w:pPr>
        <w:pStyle w:val="BodyText"/>
        <w:jc w:val="both"/>
      </w:pPr>
      <w:r>
        <w:rPr>
          <w:b/>
          <w:bCs/>
        </w:rPr>
        <w:t xml:space="preserve">The axis used to organize results.</w:t>
      </w:r>
      <w:r>
        <w:t xml:space="preserve"> </w:t>
      </w:r>
      <w:r>
        <w:t xml:space="preserve">Datasets with very different block</w:t>
      </w:r>
      <w:r>
        <w:t xml:space="preserve"> </w:t>
      </w:r>
      <w:r>
        <w:t xml:space="preserve">geometry are compared through the variance-inflation factor</w:t>
      </w:r>
      <w:r>
        <w:t xml:space="preserve"> </w:t>
      </w:r>
      <m:oMath>
        <m:r>
          <m:rPr>
            <m:sty m:val="p"/>
          </m:rPr>
          <m:t>D</m:t>
        </m:r>
        <m:r>
          <m:rPr>
            <m:sty m:val="p"/>
          </m:rPr>
          <m:t>E</m:t>
        </m:r>
        <m:r>
          <m:rPr>
            <m:sty m:val="p"/>
          </m:rPr>
          <m:t>f</m:t>
        </m:r>
        <m:r>
          <m:rPr>
            <m:sty m:val="p"/>
          </m:rPr>
          <m:t>f</m:t>
        </m:r>
        <m:r>
          <m:rPr>
            <m:sty m:val="p"/>
          </m:rPr>
          <m:t>=</m:t>
        </m:r>
        <m:r>
          <m:t>1</m:t>
        </m:r>
        <m:r>
          <m:rPr>
            <m:sty m:val="p"/>
          </m:rPr>
          <m:t>+</m:t>
        </m:r>
        <m:r>
          <m:rPr>
            <m:sty m:val="p"/>
          </m:rPr>
          <m:t>(</m:t>
        </m:r>
        <m:r>
          <m:t>H</m:t>
        </m:r>
        <m:r>
          <m:rPr>
            <m:sty m:val="p"/>
          </m:rPr>
          <m:t>−</m:t>
        </m:r>
        <m:r>
          <m:t>1</m:t>
        </m:r>
        <m:r>
          <m:rPr>
            <m:sty m:val="p"/>
          </m:rPr>
          <m:t>)</m:t>
        </m:r>
        <m:r>
          <m:t>ρ</m:t>
        </m:r>
      </m:oMath>
      <w:r>
        <w:t xml:space="preserve">. Because</w:t>
      </w:r>
      <w:r>
        <w:t xml:space="preserve"> </w:t>
      </w:r>
      <m:oMath>
        <m:r>
          <m:t>H</m:t>
        </m:r>
      </m:oMath>
      <w:r>
        <w:t xml:space="preserve"> </w:t>
      </w:r>
      <w:r>
        <w:t xml:space="preserve">enters only through</w:t>
      </w:r>
      <w:r>
        <w:t xml:space="preserve"> </w:t>
      </w:r>
      <m:oMath>
        <m:r>
          <m:rPr>
            <m:sty m:val="p"/>
          </m:rPr>
          <m:t>(</m:t>
        </m:r>
        <m:r>
          <m:t>H</m:t>
        </m:r>
        <m:r>
          <m:rPr>
            <m:sty m:val="p"/>
          </m:rPr>
          <m:t>−</m:t>
        </m:r>
        <m:r>
          <m:t>1</m:t>
        </m:r>
        <m:r>
          <m:rPr>
            <m:sty m:val="p"/>
          </m:rPr>
          <m:t>)</m:t>
        </m:r>
        <m:r>
          <m:t>ρ</m:t>
        </m:r>
      </m:oMath>
      <w:r>
        <w:t xml:space="preserve">, the factor</w:t>
      </w:r>
      <w:r>
        <w:t xml:space="preserve"> </w:t>
      </w:r>
      <w:r>
        <w:t xml:space="preserve">predicts no harm from dependence whenever blocks are close to singletons, however</w:t>
      </w:r>
      <w:r>
        <w:t xml:space="preserve"> </w:t>
      </w:r>
      <w:r>
        <w:t xml:space="preserve">strong the within-block correlation. In the primary analysis</w:t>
      </w:r>
      <w:r>
        <w:t xml:space="preserve"> </w:t>
      </w:r>
      <m:oMath>
        <m:r>
          <m:t>ρ</m:t>
        </m:r>
      </m:oMath>
      <w:r>
        <w:t xml:space="preserve"> </w:t>
      </w:r>
      <w:r>
        <w:t xml:space="preserve">is estimated</w:t>
      </w:r>
      <w:r>
        <w:t xml:space="preserve"> </w:t>
      </w:r>
      <w:r>
        <w:t xml:space="preserve">from conformity scores, and the analysis is repeated with the indicator</w:t>
      </w:r>
      <w:r>
        <w:t xml:space="preserve"> </w:t>
      </w:r>
      <w:r>
        <w:t xml:space="preserve">correlation</w:t>
      </w:r>
      <w:r>
        <w:t xml:space="preserve"> </w:t>
      </w:r>
      <m:oMath>
        <m:r>
          <m:t>ρ</m:t>
        </m:r>
        <m:r>
          <m:rPr>
            <m:sty m:val="p"/>
          </m:rPr>
          <m:t>(</m:t>
        </m:r>
        <m:r>
          <m:t>t</m:t>
        </m:r>
        <m:r>
          <m:rPr>
            <m:sty m:val="p"/>
          </m:rPr>
          <m:t>)</m:t>
        </m:r>
      </m:oMath>
      <w:r>
        <w:t xml:space="preserve"> </w:t>
      </w:r>
      <w:r>
        <w:t xml:space="preserve">(§5.4); §6.4 records when the axis was adopted. The axis is</w:t>
      </w:r>
      <w:r>
        <w:t xml:space="preserve"> </w:t>
      </w:r>
      <w:r>
        <w:t xml:space="preserve">a heuristic under (A) that ranks configurations, not a calibrated effective</w:t>
      </w:r>
      <w:r>
        <w:t xml:space="preserve"> </w:t>
      </w:r>
      <w:r>
        <w:t xml:space="preserve">sample size; for that quantity we defer to Noonan, who derives a closed-form</w:t>
      </w:r>
      <w:r>
        <w:t xml:space="preserve"> </w:t>
      </w:r>
      <w:r>
        <w:t xml:space="preserve">effective sample size for thresholds under clustering and shows that the</w:t>
      </w:r>
      <w:r>
        <w:t xml:space="preserve"> </w:t>
      </w:r>
      <w:r>
        <w:t xml:space="preserve">correction now used in the conformal literature targets the wrong quantity [40].</w:t>
      </w:r>
    </w:p>
    <w:bookmarkEnd w:id="17"/>
    <w:bookmarkStart w:id="21" w:name="crossed-dependence-sources"/>
    <w:p>
      <w:pPr>
        <w:pStyle w:val="Heading2"/>
      </w:pPr>
      <w:r>
        <w:t xml:space="preserve">3.3 Crossed dependence sources</w:t>
      </w:r>
    </w:p>
    <w:p>
      <w:pPr>
        <w:pStyle w:val="FirstParagraph"/>
        <w:jc w:val="both"/>
      </w:pPr>
      <w:r>
        <w:t xml:space="preserve">Clinical datasets frequently offer several candidate blocking variables at the</w:t>
      </w:r>
      <w:r>
        <w:t xml:space="preserve"> </w:t>
      </w:r>
      <w:r>
        <w:t xml:space="preserve">same time — patient, device, operator, site — and nothing guarantees that they</w:t>
      </w:r>
      <w:r>
        <w:t xml:space="preserve"> </w:t>
      </w:r>
      <w:r>
        <w:t xml:space="preserve">are nested.</w:t>
      </w:r>
    </w:p>
    <w:p>
      <w:pPr>
        <w:pStyle w:val="BodyText"/>
        <w:jc w:val="both"/>
      </w:pPr>
      <w:r>
        <w:rPr>
          <w:b/>
          <w:bCs/>
        </w:rPr>
        <w:t xml:space="preserve">Definition (sufficiency).</w:t>
      </w:r>
      <w:r>
        <w:t xml:space="preserve"> </w:t>
      </w:r>
      <w:r>
        <w:t xml:space="preserve">A partition</w:t>
      </w:r>
      <w:r>
        <w:t xml:space="preserve"> </w:t>
      </w:r>
      <m:oMath>
        <m:r>
          <m:rPr>
            <m:scr m:val="script"/>
            <m:sty m:val="p"/>
          </m:rPr>
          <m:t>Q</m:t>
        </m:r>
      </m:oMath>
      <w:r>
        <w:t xml:space="preserve"> </w:t>
      </w:r>
      <w:r>
        <w:t xml:space="preserve">is</w:t>
      </w:r>
      <w:r>
        <w:t xml:space="preserve"> </w:t>
      </w:r>
      <w:r>
        <w:rPr>
          <w:i/>
          <w:iCs/>
        </w:rPr>
        <w:t xml:space="preserve">sufficient</w:t>
      </w:r>
      <w:r>
        <w:t xml:space="preserve"> </w:t>
      </w:r>
      <w:r>
        <w:t xml:space="preserve">for a</w:t>
      </w:r>
      <w:r>
        <w:t xml:space="preserve"> </w:t>
      </w:r>
      <w:r>
        <w:t xml:space="preserve">dependence source with partition</w:t>
      </w:r>
      <w:r>
        <w:t xml:space="preserve"> </w:t>
      </w:r>
      <m:oMath>
        <m:r>
          <m:rPr>
            <m:scr m:val="script"/>
            <m:sty m:val="p"/>
          </m:rPr>
          <m:t>P</m:t>
        </m:r>
      </m:oMath>
      <w:r>
        <w:t xml:space="preserve"> </w:t>
      </w:r>
      <w:r>
        <w:t xml:space="preserve">if</w:t>
      </w:r>
      <w:r>
        <w:t xml:space="preserve"> </w:t>
      </w:r>
      <m:oMath>
        <m:r>
          <m:rPr>
            <m:scr m:val="script"/>
            <m:sty m:val="p"/>
          </m:rPr>
          <m:t>P</m:t>
        </m:r>
      </m:oMath>
      <w:r>
        <w:t xml:space="preserve"> </w:t>
      </w:r>
      <w:r>
        <w:t xml:space="preserve">refines</w:t>
      </w:r>
      <w:r>
        <w:t xml:space="preserve"> </w:t>
      </w:r>
      <m:oMath>
        <m:r>
          <m:rPr>
            <m:scr m:val="script"/>
            <m:sty m:val="p"/>
          </m:rPr>
          <m:t>Q</m:t>
        </m:r>
      </m:oMath>
      <w:r>
        <w:t xml:space="preserve">, i.e. every</w:t>
      </w:r>
      <w:r>
        <w:t xml:space="preserve"> </w:t>
      </w:r>
      <m:oMath>
        <m:r>
          <m:rPr>
            <m:scr m:val="script"/>
            <m:sty m:val="p"/>
          </m:rPr>
          <m:t>P</m:t>
        </m:r>
      </m:oMath>
      <w:r>
        <w:t xml:space="preserve">-block lies inside a single</w:t>
      </w:r>
      <w:r>
        <w:t xml:space="preserve"> </w:t>
      </w:r>
      <m:oMath>
        <m:r>
          <m:rPr>
            <m:scr m:val="script"/>
            <m:sty m:val="p"/>
          </m:rPr>
          <m:t>Q</m:t>
        </m:r>
      </m:oMath>
      <w:r>
        <w:t xml:space="preserve">-block. Otherwise dependent observations fall into different</w:t>
      </w:r>
      <w:r>
        <w:t xml:space="preserve"> </w:t>
      </w:r>
      <m:oMath>
        <m:r>
          <m:rPr>
            <m:scr m:val="script"/>
            <m:sty m:val="p"/>
          </m:rPr>
          <m:t>Q</m:t>
        </m:r>
      </m:oMath>
      <w:r>
        <w:t xml:space="preserve">-blocks and are treated as independent.</w:t>
      </w:r>
    </w:p>
    <w:p>
      <w:pPr>
        <w:pStyle w:val="BodyText"/>
        <w:jc w:val="both"/>
      </w:pPr>
      <w:r>
        <w:rPr>
          <w:b/>
          <w:bCs/>
        </w:rPr>
        <w:t xml:space="preserve">Proposition 2 (crossed designs force the join).</w:t>
      </w:r>
      <w:r>
        <w:t xml:space="preserve"> </w:t>
      </w:r>
      <w:r>
        <w:t xml:space="preserve">For</w:t>
      </w:r>
      <w:r>
        <w:t xml:space="preserve"> </w:t>
      </w:r>
      <m:oMath>
        <m:r>
          <m:rPr>
            <m:scr m:val="script"/>
            <m:sty m:val="p"/>
          </m:rPr>
          <m:t>Q</m:t>
        </m:r>
      </m:oMath>
      <w:r>
        <w:t xml:space="preserve"> </w:t>
      </w:r>
      <w:r>
        <w:t xml:space="preserve">to be</w:t>
      </w:r>
      <w:r>
        <w:t xml:space="preserve"> </w:t>
      </w:r>
      <w:r>
        <w:t xml:space="preserve">sufficient for both</w:t>
      </w:r>
      <w:r>
        <w:t xml:space="preserve"> </w:t>
      </w:r>
      <m:oMath>
        <m:sSub>
          <m:e>
            <m:r>
              <m:rPr>
                <m:scr m:val="script"/>
                <m:sty m:val="p"/>
              </m:rPr>
              <m:t>P</m:t>
            </m:r>
          </m:e>
          <m:sub>
            <m:r>
              <m:t>1</m:t>
            </m:r>
          </m:sub>
        </m:sSub>
      </m:oMath>
      <w:r>
        <w:t xml:space="preserve"> </w:t>
      </w:r>
      <w:r>
        <w:t xml:space="preserve">and</w:t>
      </w:r>
      <w:r>
        <w:t xml:space="preserve"> </w:t>
      </w:r>
      <m:oMath>
        <m:sSub>
          <m:e>
            <m:r>
              <m:rPr>
                <m:scr m:val="script"/>
                <m:sty m:val="p"/>
              </m:rPr>
              <m:t>P</m:t>
            </m:r>
          </m:e>
          <m:sub>
            <m:r>
              <m:t>2</m:t>
            </m:r>
          </m:sub>
        </m:sSub>
      </m:oMath>
      <w:r>
        <w:t xml:space="preserve">, it must be coarser than</w:t>
      </w:r>
      <w:r>
        <w:t xml:space="preserve"> </w:t>
      </w:r>
      <w:r>
        <w:t xml:space="preserve">each. The finest such</w:t>
      </w:r>
      <w:r>
        <w:t xml:space="preserve"> </w:t>
      </w:r>
      <m:oMath>
        <m:r>
          <m:rPr>
            <m:scr m:val="script"/>
            <m:sty m:val="p"/>
          </m:rPr>
          <m:t>Q</m:t>
        </m:r>
      </m:oMath>
      <w:r>
        <w:t xml:space="preserve"> </w:t>
      </w:r>
      <w:r>
        <w:t xml:space="preserve">is the join</w:t>
      </w:r>
      <w:r>
        <w:t xml:space="preserve"> </w:t>
      </w:r>
      <m:oMath>
        <m:sSub>
          <m:e>
            <m:r>
              <m:rPr>
                <m:scr m:val="script"/>
                <m:sty m:val="p"/>
              </m:rPr>
              <m:t>P</m:t>
            </m:r>
          </m:e>
          <m:sub>
            <m:r>
              <m:t>1</m:t>
            </m:r>
          </m:sub>
        </m:sSub>
        <m:r>
          <m:rPr>
            <m:sty m:val="p"/>
          </m:rPr>
          <m:t>∨</m:t>
        </m:r>
        <m:sSub>
          <m:e>
            <m:r>
              <m:rPr>
                <m:scr m:val="script"/>
                <m:sty m:val="p"/>
              </m:rPr>
              <m:t>P</m:t>
            </m:r>
          </m:e>
          <m:sub>
            <m:r>
              <m:t>2</m:t>
            </m:r>
          </m:sub>
        </m:sSub>
      </m:oMath>
      <w:r>
        <w:t xml:space="preserve"> </w:t>
      </w:r>
      <w:r>
        <w:t xml:space="preserve">in</w:t>
      </w:r>
      <w:r>
        <w:t xml:space="preserve"> </w:t>
      </w:r>
      <w:r>
        <w:t xml:space="preserve">the partition lattice: the connected components of the graph linking two</w:t>
      </w:r>
      <w:r>
        <w:t xml:space="preserve"> </w:t>
      </w:r>
      <w:r>
        <w:t xml:space="preserve">observations whenever they share a</w:t>
      </w:r>
      <w:r>
        <w:t xml:space="preserve"> </w:t>
      </w:r>
      <m:oMath>
        <m:sSub>
          <m:e>
            <m:r>
              <m:rPr>
                <m:scr m:val="script"/>
                <m:sty m:val="p"/>
              </m:rPr>
              <m:t>P</m:t>
            </m:r>
          </m:e>
          <m:sub>
            <m:r>
              <m:t>1</m:t>
            </m:r>
          </m:sub>
        </m:sSub>
      </m:oMath>
      <w:r>
        <w:t xml:space="preserve">-block or a</w:t>
      </w:r>
      <w:r>
        <w:t xml:space="preserve"> </w:t>
      </w:r>
      <m:oMath>
        <m:sSub>
          <m:e>
            <m:r>
              <m:rPr>
                <m:scr m:val="script"/>
                <m:sty m:val="p"/>
              </m:rPr>
              <m:t>P</m:t>
            </m:r>
          </m:e>
          <m:sub>
            <m:r>
              <m:t>2</m:t>
            </m:r>
          </m:sub>
        </m:sSub>
      </m:oMath>
      <w:r>
        <w:t xml:space="preserve">-block.</w:t>
      </w:r>
      <w:r>
        <w:t xml:space="preserve"> </w:t>
      </w:r>
      <w:r>
        <w:t xml:space="preserve">Consequently</w:t>
      </w:r>
      <w:r>
        <w:t xml:space="preserve"> </w:t>
      </w:r>
      <m:oMath>
        <m:r>
          <m:t>K</m:t>
        </m:r>
        <m:r>
          <m:rPr>
            <m:sty m:val="p"/>
          </m:rPr>
          <m:t>(</m:t>
        </m:r>
        <m:sSub>
          <m:e>
            <m:r>
              <m:rPr>
                <m:scr m:val="script"/>
                <m:sty m:val="p"/>
              </m:rPr>
              <m:t>P</m:t>
            </m:r>
          </m:e>
          <m:sub>
            <m:r>
              <m:t>1</m:t>
            </m:r>
          </m:sub>
        </m:sSub>
        <m:r>
          <m:rPr>
            <m:sty m:val="p"/>
          </m:rPr>
          <m:t>∨</m:t>
        </m:r>
        <m:sSub>
          <m:e>
            <m:r>
              <m:rPr>
                <m:scr m:val="script"/>
                <m:sty m:val="p"/>
              </m:rPr>
              <m:t>P</m:t>
            </m:r>
          </m:e>
          <m:sub>
            <m:r>
              <m:t>2</m:t>
            </m:r>
          </m:sub>
        </m:sSub>
        <m:r>
          <m:rPr>
            <m:sty m:val="p"/>
          </m:rPr>
          <m:t>)</m:t>
        </m:r>
        <m:r>
          <m:rPr>
            <m:sty m:val="p"/>
          </m:rPr>
          <m:t>≤</m:t>
        </m:r>
        <m:r>
          <m:rPr>
            <m:sty m:val="p"/>
          </m:rPr>
          <m:t>min</m:t>
        </m:r>
        <m:r>
          <m:rPr>
            <m:sty m:val="p"/>
          </m:rPr>
          <m:t>{</m:t>
        </m:r>
        <m:r>
          <m:t>K</m:t>
        </m:r>
        <m:r>
          <m:rPr>
            <m:sty m:val="p"/>
          </m:rPr>
          <m:t>(</m:t>
        </m:r>
        <m:sSub>
          <m:e>
            <m:r>
              <m:rPr>
                <m:scr m:val="script"/>
                <m:sty m:val="p"/>
              </m:rPr>
              <m:t>P</m:t>
            </m:r>
          </m:e>
          <m:sub>
            <m:r>
              <m:t>1</m:t>
            </m:r>
          </m:sub>
        </m:sSub>
        <m:r>
          <m:rPr>
            <m:sty m:val="p"/>
          </m:rPr>
          <m:t>)</m:t>
        </m:r>
        <m:r>
          <m:rPr>
            <m:sty m:val="p"/>
          </m:rPr>
          <m:t>,</m:t>
        </m:r>
        <m:r>
          <m:t>K</m:t>
        </m:r>
        <m:r>
          <m:rPr>
            <m:sty m:val="p"/>
          </m:rPr>
          <m:t>(</m:t>
        </m:r>
        <m:sSub>
          <m:e>
            <m:r>
              <m:rPr>
                <m:scr m:val="script"/>
                <m:sty m:val="p"/>
              </m:rPr>
              <m:t>P</m:t>
            </m:r>
          </m:e>
          <m:sub>
            <m:r>
              <m:t>2</m:t>
            </m:r>
          </m:sub>
        </m:sSub>
        <m:r>
          <m:rPr>
            <m:sty m:val="p"/>
          </m:rPr>
          <m:t>)</m:t>
        </m:r>
        <m:r>
          <m:rPr>
            <m:sty m:val="p"/>
          </m:rPr>
          <m:t>}</m:t>
        </m:r>
      </m:oMath>
      <w:r>
        <w:t xml:space="preserve"> </w:t>
      </w:r>
      <w:r>
        <w:t xml:space="preserve">and</w:t>
      </w:r>
      <w:r>
        <w:t xml:space="preserve"> </w:t>
      </w:r>
      <m:oMath>
        <m:sSub>
          <m:e>
            <m:r>
              <m:t>α</m:t>
            </m:r>
          </m:e>
          <m:sub>
            <m:r>
              <m:rPr>
                <m:sty m:val="p"/>
              </m:rPr>
              <m:t>min</m:t>
            </m:r>
          </m:sub>
        </m:sSub>
        <m:r>
          <m:rPr>
            <m:sty m:val="p"/>
          </m:rPr>
          <m:t>(</m:t>
        </m:r>
        <m:sSub>
          <m:e>
            <m:r>
              <m:rPr>
                <m:scr m:val="script"/>
                <m:sty m:val="p"/>
              </m:rPr>
              <m:t>P</m:t>
            </m:r>
          </m:e>
          <m:sub>
            <m:r>
              <m:t>1</m:t>
            </m:r>
          </m:sub>
        </m:sSub>
        <m:r>
          <m:rPr>
            <m:sty m:val="p"/>
          </m:rPr>
          <m:t>∨</m:t>
        </m:r>
        <m:sSub>
          <m:e>
            <m:r>
              <m:rPr>
                <m:scr m:val="script"/>
                <m:sty m:val="p"/>
              </m:rPr>
              <m:t>P</m:t>
            </m:r>
          </m:e>
          <m:sub>
            <m:r>
              <m:t>2</m:t>
            </m:r>
          </m:sub>
        </m:sSub>
        <m:r>
          <m:rPr>
            <m:sty m:val="p"/>
          </m:rPr>
          <m:t>)</m:t>
        </m:r>
        <m:r>
          <m:rPr>
            <m:sty m:val="p"/>
          </m:rPr>
          <m:t>≥</m:t>
        </m:r>
        <m:r>
          <m:rPr>
            <m:sty m:val="p"/>
          </m:rPr>
          <m:t>max</m:t>
        </m:r>
        <m:r>
          <m:rPr>
            <m:sty m:val="p"/>
          </m:rPr>
          <m:t>{</m:t>
        </m:r>
        <m:sSub>
          <m:e>
            <m:r>
              <m:t>α</m:t>
            </m:r>
          </m:e>
          <m:sub>
            <m:r>
              <m:rPr>
                <m:sty m:val="p"/>
              </m:rPr>
              <m:t>min</m:t>
            </m:r>
          </m:sub>
        </m:sSub>
        <m:r>
          <m:rPr>
            <m:sty m:val="p"/>
          </m:rPr>
          <m:t>(</m:t>
        </m:r>
        <m:sSub>
          <m:e>
            <m:r>
              <m:rPr>
                <m:scr m:val="script"/>
                <m:sty m:val="p"/>
              </m:rPr>
              <m:t>P</m:t>
            </m:r>
          </m:e>
          <m:sub>
            <m:r>
              <m:t>1</m:t>
            </m:r>
          </m:sub>
        </m:sSub>
        <m:r>
          <m:rPr>
            <m:sty m:val="p"/>
          </m:rPr>
          <m:t>)</m:t>
        </m:r>
        <m:r>
          <m:rPr>
            <m:sty m:val="p"/>
          </m:rPr>
          <m:t>,</m:t>
        </m:r>
        <m:sSub>
          <m:e>
            <m:r>
              <m:t>α</m:t>
            </m:r>
          </m:e>
          <m:sub>
            <m:r>
              <m:rPr>
                <m:sty m:val="p"/>
              </m:rPr>
              <m:t>min</m:t>
            </m:r>
          </m:sub>
        </m:sSub>
        <m:r>
          <m:rPr>
            <m:sty m:val="p"/>
          </m:rPr>
          <m:t>(</m:t>
        </m:r>
        <m:sSub>
          <m:e>
            <m:r>
              <m:rPr>
                <m:scr m:val="script"/>
                <m:sty m:val="p"/>
              </m:rPr>
              <m:t>P</m:t>
            </m:r>
          </m:e>
          <m:sub>
            <m:r>
              <m:t>2</m:t>
            </m:r>
          </m:sub>
        </m:sSub>
        <m:r>
          <m:rPr>
            <m:sty m:val="p"/>
          </m:rPr>
          <m:t>)</m:t>
        </m:r>
        <m:r>
          <m:rPr>
            <m:sty m:val="p"/>
          </m:rPr>
          <m:t>}</m:t>
        </m:r>
      </m:oMath>
      <w:r>
        <w:t xml:space="preserve">.</w:t>
      </w:r>
    </w:p>
    <w:p>
      <w:pPr>
        <w:pStyle w:val="BodyText"/>
        <w:jc w:val="both"/>
      </w:pPr>
      <w:r>
        <w:t xml:space="preserve">The result is standard for partition lattices; what concerns us is its</w:t>
      </w:r>
      <w:r>
        <w:t xml:space="preserve"> </w:t>
      </w:r>
      <w:r>
        <w:t xml:space="preserve">implication for calibration. Fig. 2 illustrates it with eight hypothetical</w:t>
      </w:r>
      <w:r>
        <w:t xml:space="preserve"> </w:t>
      </w:r>
      <w:r>
        <w:t xml:space="preserve">records, where five patient blocks and three device blocks, each acceptable on</w:t>
      </w:r>
      <w:r>
        <w:t xml:space="preserve"> </w:t>
      </w:r>
      <w:r>
        <w:t xml:space="preserve">its own, shrink to two blocks once both sources have to be respected.</w:t>
      </w:r>
    </w:p>
    <w:p>
      <w:pPr>
        <w:pStyle w:val="CaptionedFigure"/>
        <w:jc w:val="both"/>
      </w:pPr>
      <w:r>
        <w:drawing>
          <wp:inline>
            <wp:extent cx="3108960" cy="1073695"/>
            <wp:effectExtent b="0" l="0" r="0" t="0"/>
            <wp:docPr descr="Fig. 2. Schematic of Proposition 2 on eight hypothetical records (circles). Solid arcs link records of the same patient and dashed arcs records of the same device. A grouping sufficient for both sources must keep every linked pair in one block, so the finest such grouping is the join, the connected components (shaded). On PTB-XL the same mechanism collapses four declared sources to a single block (§5.1)." title="" id="19" name="Picture"/>
            <a:graphic>
              <a:graphicData uri="http://schemas.openxmlformats.org/drawingml/2006/picture">
                <pic:pic>
                  <pic:nvPicPr>
                    <pic:cNvPr descr="figures/fig2_join_schematic.png" id="20" name="Picture"/>
                    <pic:cNvPicPr>
                      <a:picLocks noChangeArrowheads="1" noChangeAspect="1"/>
                    </pic:cNvPicPr>
                  </pic:nvPicPr>
                  <pic:blipFill>
                    <a:blip r:embed="rId18"/>
                    <a:stretch>
                      <a:fillRect/>
                    </a:stretch>
                  </pic:blipFill>
                  <pic:spPr bwMode="auto">
                    <a:xfrm>
                      <a:off x="0" y="0"/>
                      <a:ext cx="3108960" cy="1073695"/>
                    </a:xfrm>
                    <a:prstGeom prst="rect">
                      <a:avLst/>
                    </a:prstGeom>
                    <a:noFill/>
                    <a:ln w="9525">
                      <a:noFill/>
                      <a:headEnd/>
                      <a:tailEnd/>
                    </a:ln>
                  </pic:spPr>
                </pic:pic>
              </a:graphicData>
            </a:graphic>
          </wp:inline>
        </w:drawing>
      </w:r>
    </w:p>
    <w:p>
      <w:pPr>
        <w:pStyle w:val="ImageCaption"/>
        <w:jc w:val="both"/>
      </w:pPr>
      <w:r>
        <w:t xml:space="preserve">Fig. 2. Schematic of Proposition 2 on eight hypothetical records (circles). Solid arcs link records of the same patient and dashed arcs records of the same device. A grouping sufficient for both sources must keep every linked pair in one block, so the finest such grouping is the join, the connected components (shaded). On PTB-XL the same mechanism collapses four declared sources to a single block (§5.1).</w:t>
      </w:r>
    </w:p>
    <w:p>
      <w:pPr>
        <w:pStyle w:val="BodyText"/>
        <w:jc w:val="both"/>
      </w:pPr>
      <w:r>
        <w:rPr>
          <w:b/>
          <w:bCs/>
        </w:rPr>
        <w:t xml:space="preserve">Corollary 2 (impossibility).</w:t>
      </w:r>
      <w:r>
        <w:t xml:space="preserve"> </w:t>
      </w:r>
      <w:r>
        <w:t xml:space="preserve">If</w:t>
      </w:r>
      <w:r>
        <w:t xml:space="preserve"> </w:t>
      </w:r>
      <m:oMath>
        <m:sSub>
          <m:e>
            <m:r>
              <m:t>K</m:t>
            </m:r>
          </m:e>
          <m:sub>
            <m:r>
              <m:t>1</m:t>
            </m:r>
          </m:sub>
        </m:sSub>
        <m:r>
          <m:rPr>
            <m:sty m:val="p"/>
          </m:rPr>
          <m:t>(</m:t>
        </m:r>
        <m:sSub>
          <m:e>
            <m:r>
              <m:rPr>
                <m:scr m:val="script"/>
                <m:sty m:val="p"/>
              </m:rPr>
              <m:t>P</m:t>
            </m:r>
          </m:e>
          <m:sub>
            <m:r>
              <m:t>1</m:t>
            </m:r>
          </m:sub>
        </m:sSub>
        <m:r>
          <m:rPr>
            <m:sty m:val="p"/>
          </m:rPr>
          <m:t>∨</m:t>
        </m:r>
        <m:sSub>
          <m:e>
            <m:r>
              <m:rPr>
                <m:scr m:val="script"/>
                <m:sty m:val="p"/>
              </m:rPr>
              <m:t>P</m:t>
            </m:r>
          </m:e>
          <m:sub>
            <m:r>
              <m:t>2</m:t>
            </m:r>
          </m:sub>
        </m:sSub>
        <m:r>
          <m:rPr>
            <m:sty m:val="p"/>
          </m:rPr>
          <m:t>)</m:t>
        </m:r>
        <m:r>
          <m:rPr>
            <m:sty m:val="p"/>
          </m:rPr>
          <m:t>&lt;</m:t>
        </m:r>
        <m:r>
          <m:rPr>
            <m:sty m:val="p"/>
          </m:rPr>
          <m:t>⌈</m:t>
        </m:r>
        <m:r>
          <m:t>1</m:t>
        </m:r>
        <m:r>
          <m:rPr>
            <m:sty m:val="p"/>
          </m:rPr>
          <m:t>/</m:t>
        </m:r>
        <m:r>
          <m:t>α</m:t>
        </m:r>
        <m:r>
          <m:rPr>
            <m:sty m:val="p"/>
          </m:rPr>
          <m:t>⌉</m:t>
        </m:r>
        <m:r>
          <m:rPr>
            <m:sty m:val="p"/>
          </m:rPr>
          <m:t>−</m:t>
        </m:r>
        <m:r>
          <m:t>1</m:t>
        </m:r>
      </m:oMath>
      <w:r>
        <w:t xml:space="preserve">, no HCP calibration yields a non-trivial guarantee at level</w:t>
      </w:r>
      <w:r>
        <w:t xml:space="preserve"> </w:t>
      </w:r>
      <m:oMath>
        <m:r>
          <m:t>α</m:t>
        </m:r>
      </m:oMath>
      <w:r>
        <w:t xml:space="preserve"> </w:t>
      </w:r>
      <w:r>
        <w:t xml:space="preserve">while accounting for both dependence sources; the same holds for any number of sources and their joint join. This is a property of the study design, not a shortcoming of any estimator.</w:t>
      </w:r>
    </w:p>
    <w:p>
      <w:pPr>
        <w:pStyle w:val="BodyText"/>
        <w:jc w:val="both"/>
      </w:pPr>
      <w:r>
        <w:rPr>
          <w:b/>
          <w:bCs/>
        </w:rPr>
        <w:t xml:space="preserve">Scope of Corollary 2.</w:t>
      </w:r>
      <w:r>
        <w:t xml:space="preserve"> </w:t>
      </w:r>
      <w:r>
        <w:t xml:space="preserve">We prove Corollary 2 for HCP as defined in (1).</w:t>
      </w:r>
      <w:r>
        <w:t xml:space="preserve"> </w:t>
      </w:r>
      <w:r>
        <w:t xml:space="preserve">Whether it extends to the constructions of Dunn et al. [14], or to every</w:t>
      </w:r>
      <w:r>
        <w:t xml:space="preserve"> </w:t>
      </w:r>
      <w:r>
        <w:t xml:space="preserve">distribution-free method whose validity rests on between-block exchangeability,</w:t>
      </w:r>
      <w:r>
        <w:t xml:space="preserve"> </w:t>
      </w:r>
      <w:r>
        <w:t xml:space="preserve">remains open. We conjecture that it does, by analogy with the unavoidable</w:t>
      </w:r>
      <w:r>
        <w:t xml:space="preserve"> </w:t>
      </w:r>
      <m:oMath>
        <m:r>
          <m:t>n</m:t>
        </m:r>
        <m:r>
          <m:rPr>
            <m:sty m:val="p"/>
          </m:rPr>
          <m:t>≥</m:t>
        </m:r>
        <m:r>
          <m:t>1</m:t>
        </m:r>
        <m:r>
          <m:rPr>
            <m:sty m:val="p"/>
          </m:rPr>
          <m:t>/</m:t>
        </m:r>
        <m:r>
          <m:t>α</m:t>
        </m:r>
        <m:r>
          <m:rPr>
            <m:sty m:val="p"/>
          </m:rPr>
          <m:t>−</m:t>
        </m:r>
        <m:r>
          <m:t>1</m:t>
        </m:r>
      </m:oMath>
      <w:r>
        <w:t xml:space="preserve"> </w:t>
      </w:r>
      <w:r>
        <w:t xml:space="preserve">requirement of split conformal, but we do not claim it.</w:t>
      </w:r>
    </w:p>
    <w:p>
      <w:pPr>
        <w:pStyle w:val="BodyText"/>
        <w:jc w:val="both"/>
      </w:pPr>
      <w:r>
        <w:rPr>
          <w:b/>
          <w:bCs/>
        </w:rPr>
        <w:t xml:space="preserve">Admissible groupings.</w:t>
      </w:r>
      <w:r>
        <w:t xml:space="preserve"> </w:t>
      </w:r>
      <w:r>
        <w:t xml:space="preserve">We call a calibration grouping</w:t>
      </w:r>
      <w:r>
        <w:t xml:space="preserve"> </w:t>
      </w:r>
      <m:oMath>
        <m:r>
          <m:t>g</m:t>
        </m:r>
      </m:oMath>
      <w:r>
        <w:t xml:space="preserve"> </w:t>
      </w:r>
      <w:r>
        <w:t xml:space="preserve">admissible at level</w:t>
      </w:r>
      <w:r>
        <w:t xml:space="preserve"> </w:t>
      </w:r>
      <m:oMath>
        <m:r>
          <m:t>α</m:t>
        </m:r>
      </m:oMath>
      <w:r>
        <w:t xml:space="preserve"> </w:t>
      </w:r>
      <w:r>
        <w:t xml:space="preserve">when it passes two checks: (S1) feasibility,</w:t>
      </w:r>
      <w:r>
        <w:t xml:space="preserve"> </w:t>
      </w:r>
      <m:oMath>
        <m:sSub>
          <m:e>
            <m:r>
              <m:t>K</m:t>
            </m:r>
          </m:e>
          <m:sub>
            <m:r>
              <m:t>1</m:t>
            </m:r>
          </m:sub>
        </m:sSub>
        <m:r>
          <m:rPr>
            <m:sty m:val="p"/>
          </m:rPr>
          <m:t>(</m:t>
        </m:r>
        <m:r>
          <m:t>g</m:t>
        </m:r>
        <m:r>
          <m:rPr>
            <m:sty m:val="p"/>
          </m:rPr>
          <m:t>)</m:t>
        </m:r>
        <m:r>
          <m:rPr>
            <m:sty m:val="p"/>
          </m:rPr>
          <m:t>≥</m:t>
        </m:r>
        <m:r>
          <m:rPr>
            <m:sty m:val="p"/>
          </m:rPr>
          <m:t>⌈</m:t>
        </m:r>
        <m:r>
          <m:t>1</m:t>
        </m:r>
        <m:r>
          <m:rPr>
            <m:sty m:val="p"/>
          </m:rPr>
          <m:t>/</m:t>
        </m:r>
        <m:r>
          <m:t>α</m:t>
        </m:r>
        <m:r>
          <m:rPr>
            <m:sty m:val="p"/>
          </m:rPr>
          <m:t>⌉</m:t>
        </m:r>
        <m:r>
          <m:rPr>
            <m:sty m:val="p"/>
          </m:rPr>
          <m:t>−</m:t>
        </m:r>
        <m:r>
          <m:t>1</m:t>
        </m:r>
      </m:oMath>
      <w:r>
        <w:t xml:space="preserve">, which is exact by Proposition 1, and (S2)</w:t>
      </w:r>
      <w:r>
        <w:t xml:space="preserve"> </w:t>
      </w:r>
      <w:r>
        <w:t xml:space="preserve">sufficiency, under which every</w:t>
      </w:r>
      <w:r>
        <w:t xml:space="preserve"> </w:t>
      </w:r>
      <w:r>
        <w:rPr>
          <w:i/>
          <w:iCs/>
        </w:rPr>
        <w:t xml:space="preserve">declared</w:t>
      </w:r>
      <w:r>
        <w:t xml:space="preserve"> </w:t>
      </w:r>
      <w:r>
        <w:t xml:space="preserve">dependence source is nested in</w:t>
      </w:r>
      <w:r>
        <w:t xml:space="preserve"> </w:t>
      </w:r>
      <m:oMath>
        <m:r>
          <m:t>g</m:t>
        </m:r>
      </m:oMath>
      <w:r>
        <w:t xml:space="preserve">,</w:t>
      </w:r>
      <w:r>
        <w:t xml:space="preserve"> </w:t>
      </w:r>
      <w:r>
        <w:t xml:space="preserve">exact relative to that declaration. Passing S1 alone does not suffice, because a</w:t>
      </w:r>
      <w:r>
        <w:t xml:space="preserve"> </w:t>
      </w:r>
      <w:r>
        <w:t xml:space="preserve">grouping may admit a finite threshold yet leave dependence between its blocks</w:t>
      </w:r>
      <w:r>
        <w:t xml:space="preserve"> </w:t>
      </w:r>
      <w:r>
        <w:t xml:space="preserve">unaddressed. S2, in turn, can be no more complete than the list it is given: a</w:t>
      </w:r>
      <w:r>
        <w:t xml:space="preserve"> </w:t>
      </w:r>
      <w:r>
        <w:t xml:space="preserve">source left undeclared passes trivially, so S2 verifies that a stated assumption</w:t>
      </w:r>
      <w:r>
        <w:t xml:space="preserve"> </w:t>
      </w:r>
      <w:r>
        <w:t xml:space="preserve">is internally consistent rather than testing whether it holds. With crossed</w:t>
      </w:r>
      <w:r>
        <w:t xml:space="preserve"> </w:t>
      </w:r>
      <w:r>
        <w:t xml:space="preserve">sources the finest grouping that passes S2 is their join (Proposition 2). In</w:t>
      </w:r>
      <w:r>
        <w:t xml:space="preserve"> </w:t>
      </w:r>
      <w:r>
        <w:t xml:space="preserve">leakage control, joins of individually fine groupings are already known to form</w:t>
      </w:r>
      <w:r>
        <w:t xml:space="preserve"> </w:t>
      </w:r>
      <w:r>
        <w:t xml:space="preserve">giant components [41]; the consequence here is of a different kind, since a</w:t>
      </w:r>
      <w:r>
        <w:t xml:space="preserve"> </w:t>
      </w:r>
      <w:r>
        <w:t xml:space="preserve">collapsed join there merely weakens a split, whereas here, below</w:t>
      </w:r>
      <w:r>
        <w:t xml:space="preserve"> </w:t>
      </w:r>
      <m:oMath>
        <m:r>
          <m:t>1</m:t>
        </m:r>
        <m:r>
          <m:rPr>
            <m:sty m:val="p"/>
          </m:rPr>
          <m:t>/</m:t>
        </m:r>
        <m:r>
          <m:rPr>
            <m:sty m:val="p"/>
          </m:rPr>
          <m:t>(</m:t>
        </m:r>
        <m:sSub>
          <m:e>
            <m:r>
              <m:t>K</m:t>
            </m:r>
          </m:e>
          <m:sub>
            <m:r>
              <m:t>1</m:t>
            </m:r>
          </m:sub>
        </m:sSub>
        <m:r>
          <m:rPr>
            <m:sty m:val="p"/>
          </m:rPr>
          <m:t>+</m:t>
        </m:r>
        <m:r>
          <m:t>1</m:t>
        </m:r>
        <m:r>
          <m:rPr>
            <m:sty m:val="p"/>
          </m:rPr>
          <m:t>)</m:t>
        </m:r>
      </m:oMath>
      <w:r>
        <w:t xml:space="preserve">, no</w:t>
      </w:r>
      <w:r>
        <w:t xml:space="preserve"> </w:t>
      </w:r>
      <w:r>
        <w:t xml:space="preserve">finite threshold exists at all (Corollary 2). Because no dataset can confirm the</w:t>
      </w:r>
      <w:r>
        <w:t xml:space="preserve"> </w:t>
      </w:r>
      <w:r>
        <w:t xml:space="preserve">declared set, each verdict is reported as a function of that set and never as a</w:t>
      </w:r>
      <w:r>
        <w:t xml:space="preserve"> </w:t>
      </w:r>
      <w:r>
        <w:t xml:space="preserve">property of the data.</w:t>
      </w:r>
    </w:p>
    <w:bookmarkEnd w:id="21"/>
    <w:bookmarkStart w:id="22" w:name="label-conditional-feasibility"/>
    <w:p>
      <w:pPr>
        <w:pStyle w:val="Heading2"/>
      </w:pPr>
      <w:r>
        <w:t xml:space="preserve">3.4 Label-conditional feasibility</w:t>
      </w:r>
    </w:p>
    <w:p>
      <w:pPr>
        <w:pStyle w:val="FirstParagraph"/>
        <w:jc w:val="both"/>
      </w:pPr>
      <w:r>
        <w:t xml:space="preserve">The PTB-XL diagnoses form a three-level tree with 5 superclasses, 23 subclasses</w:t>
      </w:r>
      <w:r>
        <w:t xml:space="preserve"> </w:t>
      </w:r>
      <w:r>
        <w:t xml:space="preserve">and 44 diagnostic SCP statements. Since one recording may carry several labels,</w:t>
      </w:r>
      <w:r>
        <w:t xml:space="preserve"> </w:t>
      </w:r>
      <w:r>
        <w:t xml:space="preserve">the target is a set</w:t>
      </w:r>
      <w:r>
        <w:t xml:space="preserve"> </w:t>
      </w:r>
      <m:oMath>
        <m:r>
          <m:t>Y</m:t>
        </m:r>
        <m:r>
          <m:rPr>
            <m:sty m:val="p"/>
          </m:rPr>
          <m:t>⊆</m:t>
        </m:r>
        <m:r>
          <m:rPr>
            <m:scr m:val="script"/>
            <m:sty m:val="p"/>
          </m:rPr>
          <m:t>L</m:t>
        </m:r>
      </m:oMath>
      <w:r>
        <w:t xml:space="preserve"> </w:t>
      </w:r>
      <w:r>
        <w:t xml:space="preserve">and a notion of coverage has to be</w:t>
      </w:r>
      <w:r>
        <w:t xml:space="preserve"> </w:t>
      </w:r>
      <w:r>
        <w:t xml:space="preserve">selected. Superset coverage,</w:t>
      </w:r>
    </w:p>
    <w:p>
      <w:pPr>
        <w:pStyle w:val="BodyText"/>
      </w:pPr>
      <m:oMathPara>
        <m:oMathParaPr>
          <m:jc m:val="center"/>
        </m:oMathParaPr>
        <m:oMath>
          <m:r>
            <m:rPr>
              <m:scr m:val="double-struck"/>
              <m:sty m:val="p"/>
            </m:rPr>
            <m:t>P</m:t>
          </m:r>
          <m:d>
            <m:dPr>
              <m:begChr m:val="("/>
              <m:sepChr m:val=""/>
              <m:endChr m:val=")"/>
              <m:grow/>
            </m:dPr>
            <m:e>
              <m:sSub>
                <m:e>
                  <m:r>
                    <m:t>Y</m:t>
                  </m:r>
                </m:e>
                <m:sub>
                  <m:r>
                    <m:rPr>
                      <m:nor/>
                      <m:sty m:val="p"/>
                    </m:rPr>
                    <m:t>test</m:t>
                  </m:r>
                </m:sub>
              </m:sSub>
              <m:r>
                <m:rPr>
                  <m:sty m:val="p"/>
                </m:rPr>
                <m:t>⊆</m:t>
              </m:r>
              <m:acc>
                <m:accPr>
                  <m:chr m:val="̂"/>
                </m:accPr>
                <m:e>
                  <m:r>
                    <m:t>C</m:t>
                  </m:r>
                </m:e>
              </m:acc>
              <m:r>
                <m:rPr>
                  <m:sty m:val="p"/>
                </m:rPr>
                <m:t>(</m:t>
              </m:r>
              <m:sSub>
                <m:e>
                  <m:r>
                    <m:t>X</m:t>
                  </m:r>
                </m:e>
                <m:sub>
                  <m:r>
                    <m:rPr>
                      <m:nor/>
                      <m:sty m:val="p"/>
                    </m:rPr>
                    <m:t>test</m:t>
                  </m:r>
                </m:sub>
              </m:sSub>
              <m:r>
                <m:rPr>
                  <m:sty m:val="p"/>
                </m:rPr>
                <m:t>)</m:t>
              </m:r>
            </m:e>
          </m:d>
          <m:r>
            <m:t> </m:t>
          </m:r>
          <m:r>
            <m:rPr>
              <m:sty m:val="p"/>
            </m:rPr>
            <m:t>≥</m:t>
          </m:r>
          <m:r>
            <m:t> </m:t>
          </m:r>
          <m:r>
            <m:t>1</m:t>
          </m:r>
          <m:r>
            <m:rPr>
              <m:sty m:val="p"/>
            </m:rPr>
            <m:t>−</m:t>
          </m:r>
          <m:r>
            <m:t>α</m:t>
          </m:r>
          <m:r>
            <m:rPr>
              <m:sty m:val="p"/>
            </m:rPr>
            <m:t>,</m:t>
          </m:r>
          <m:r>
            <m:t>  </m:t>
          </m:r>
          <m:r>
            <m:rPr>
              <m:nor/>
              <m:sty m:val="p"/>
            </m:rPr>
            <m:t>(5)</m:t>
          </m:r>
        </m:oMath>
      </m:oMathPara>
    </w:p>
    <w:p>
      <w:pPr>
        <w:pStyle w:val="FirstParagraph"/>
        <w:jc w:val="both"/>
      </w:pPr>
      <w:r>
        <w:t xml:space="preserve">involves nothing new: Theorem 1 of [13] needs only a fixed scalar score, and with</w:t>
      </w:r>
      <w:r>
        <w:t xml:space="preserve"> </w:t>
      </w:r>
      <m:oMath>
        <m:r>
          <m:t>s</m:t>
        </m:r>
        <m:r>
          <m:rPr>
            <m:sty m:val="p"/>
          </m:rPr>
          <m:t>(</m:t>
        </m:r>
        <m:r>
          <m:t>x</m:t>
        </m:r>
        <m:r>
          <m:rPr>
            <m:sty m:val="p"/>
          </m:rPr>
          <m:t>,</m:t>
        </m:r>
        <m:r>
          <m:t>Y</m:t>
        </m:r>
        <m:r>
          <m:rPr>
            <m:sty m:val="p"/>
          </m:rPr>
          <m:t>)</m:t>
        </m:r>
        <m:r>
          <m:rPr>
            <m:sty m:val="p"/>
          </m:rPr>
          <m:t>=</m:t>
        </m:r>
        <m:sSub>
          <m:e>
            <m:r>
              <m:rPr>
                <m:sty m:val="p"/>
              </m:rPr>
              <m:t>max</m:t>
            </m:r>
          </m:e>
          <m:sub>
            <m:r>
              <m:t>ℓ</m:t>
            </m:r>
            <m:r>
              <m:rPr>
                <m:sty m:val="p"/>
              </m:rPr>
              <m:t>∈</m:t>
            </m:r>
            <m:r>
              <m:t>Y</m:t>
            </m:r>
          </m:sub>
        </m:sSub>
        <m:sSub>
          <m:e>
            <m:r>
              <m:t>s</m:t>
            </m:r>
          </m:e>
          <m:sub>
            <m:r>
              <m:t>ℓ</m:t>
            </m:r>
          </m:sub>
        </m:sSub>
        <m:r>
          <m:rPr>
            <m:sty m:val="p"/>
          </m:rPr>
          <m:t>(</m:t>
        </m:r>
        <m:r>
          <m:t>x</m:t>
        </m:r>
        <m:r>
          <m:rPr>
            <m:sty m:val="p"/>
          </m:rPr>
          <m:t>)</m:t>
        </m:r>
      </m:oMath>
      <w:r>
        <w:t xml:space="preserve"> </w:t>
      </w:r>
      <w:r>
        <w:t xml:space="preserve">one has</w:t>
      </w:r>
      <w:r>
        <w:t xml:space="preserve"> </w:t>
      </w:r>
      <m:oMath>
        <m:r>
          <m:rPr>
            <m:sty m:val="p"/>
          </m:rPr>
          <m:t>{</m:t>
        </m:r>
        <m:r>
          <m:t>Y</m:t>
        </m:r>
        <m:r>
          <m:rPr>
            <m:sty m:val="p"/>
          </m:rPr>
          <m:t>⊆</m:t>
        </m:r>
        <m:acc>
          <m:accPr>
            <m:chr m:val="̂"/>
          </m:accPr>
          <m:e>
            <m:r>
              <m:t>C</m:t>
            </m:r>
          </m:e>
        </m:acc>
        <m:r>
          <m:rPr>
            <m:sty m:val="p"/>
          </m:rPr>
          <m:t>}</m:t>
        </m:r>
        <m:r>
          <m:rPr>
            <m:sty m:val="p"/>
          </m:rPr>
          <m:t>⇔</m:t>
        </m:r>
        <m:r>
          <m:t>s</m:t>
        </m:r>
        <m:r>
          <m:rPr>
            <m:sty m:val="p"/>
          </m:rPr>
          <m:t>(</m:t>
        </m:r>
        <m:r>
          <m:t>x</m:t>
        </m:r>
        <m:r>
          <m:rPr>
            <m:sty m:val="p"/>
          </m:rPr>
          <m:t>,</m:t>
        </m:r>
        <m:r>
          <m:t>Y</m:t>
        </m:r>
        <m:r>
          <m:rPr>
            <m:sty m:val="p"/>
          </m:rPr>
          <m:t>)</m:t>
        </m:r>
        <m:r>
          <m:rPr>
            <m:sty m:val="p"/>
          </m:rPr>
          <m:t>≤</m:t>
        </m:r>
        <m:acc>
          <m:accPr>
            <m:chr m:val="̂"/>
          </m:accPr>
          <m:e>
            <m:r>
              <m:t>T</m:t>
            </m:r>
          </m:e>
        </m:acc>
      </m:oMath>
      <w:r>
        <w:t xml:space="preserve">,</w:t>
      </w:r>
      <w:r>
        <w:t xml:space="preserve"> </w:t>
      </w:r>
      <w:r>
        <w:t xml:space="preserve">so HCP carries over unchanged. The substance lies in the label-conditional</w:t>
      </w:r>
      <w:r>
        <w:t xml:space="preserve"> </w:t>
      </w:r>
      <w:r>
        <w:t xml:space="preserve">target</w:t>
      </w:r>
    </w:p>
    <w:p>
      <w:pPr>
        <w:pStyle w:val="BodyText"/>
      </w:pPr>
      <m:oMathPara>
        <m:oMathParaPr>
          <m:jc m:val="center"/>
        </m:oMathParaPr>
        <m:oMath>
          <m:r>
            <m:rPr>
              <m:scr m:val="double-struck"/>
              <m:sty m:val="p"/>
            </m:rPr>
            <m:t>P</m:t>
          </m:r>
          <m:r>
            <m:rPr>
              <m:sty m:val="p"/>
            </m:rPr>
            <m:t>(</m:t>
          </m:r>
          <m:r>
            <m:t>ℓ</m:t>
          </m:r>
          <m:r>
            <m:rPr>
              <m:sty m:val="p"/>
            </m:rPr>
            <m:t>∈</m:t>
          </m:r>
          <m:acc>
            <m:accPr>
              <m:chr m:val="̂"/>
            </m:accPr>
            <m:e>
              <m:r>
                <m:t>C</m:t>
              </m:r>
            </m:e>
          </m:acc>
          <m:r>
            <m:rPr>
              <m:sty m:val="p"/>
            </m:rPr>
            <m:t>(</m:t>
          </m:r>
          <m:r>
            <m:t>X</m:t>
          </m:r>
          <m:r>
            <m:rPr>
              <m:sty m:val="p"/>
            </m:rPr>
            <m:t>)</m:t>
          </m:r>
          <m:r>
            <m:t> </m:t>
          </m:r>
          <m:d>
            <m:dPr>
              <m:begChr m:val="|"/>
              <m:sepChr m:val=""/>
              <m:endChr m:val=")"/>
              <m:grow/>
            </m:dPr>
            <m:e>
              <m:r>
                <m:t> </m:t>
              </m:r>
              <m:r>
                <m:t>ℓ</m:t>
              </m:r>
              <m:r>
                <m:rPr>
                  <m:sty m:val="p"/>
                </m:rPr>
                <m:t>∈</m:t>
              </m:r>
              <m:r>
                <m:t>Y</m:t>
              </m:r>
            </m:e>
          </m:d>
          <m:r>
            <m:t> </m:t>
          </m:r>
          <m:r>
            <m:rPr>
              <m:sty m:val="p"/>
            </m:rPr>
            <m:t>≥</m:t>
          </m:r>
          <m:r>
            <m:t> </m:t>
          </m:r>
          <m:r>
            <m:t>1</m:t>
          </m:r>
          <m:r>
            <m:rPr>
              <m:sty m:val="p"/>
            </m:rPr>
            <m:t>−</m:t>
          </m:r>
          <m:r>
            <m:t>α</m:t>
          </m:r>
          <m:r>
            <m:rPr>
              <m:sty m:val="p"/>
            </m:rPr>
            <m:t>,</m:t>
          </m:r>
          <m:r>
            <m:t>  </m:t>
          </m:r>
          <m:r>
            <m:rPr>
              <m:nor/>
              <m:sty m:val="p"/>
            </m:rPr>
            <m:t>(6)</m:t>
          </m:r>
        </m:oMath>
      </m:oMathPara>
    </w:p>
    <w:p>
      <w:pPr>
        <w:pStyle w:val="FirstParagraph"/>
        <w:jc w:val="both"/>
      </w:pPr>
      <w:r>
        <w:t xml:space="preserve">which admits no such reduction. For exchangeable data it is well known that rare</w:t>
      </w:r>
      <w:r>
        <w:t xml:space="preserve"> </w:t>
      </w:r>
      <w:r>
        <w:t xml:space="preserve">classes starve class-conditional calibration [42]; under hierarchical</w:t>
      </w:r>
      <w:r>
        <w:t xml:space="preserve"> </w:t>
      </w:r>
      <w:r>
        <w:t xml:space="preserve">dependence the quantity to count is the number of blocks.</w:t>
      </w:r>
    </w:p>
    <w:p>
      <w:pPr>
        <w:pStyle w:val="BodyText"/>
        <w:jc w:val="both"/>
      </w:pPr>
      <w:r>
        <w:rPr>
          <w:b/>
          <w:bCs/>
        </w:rPr>
        <w:t xml:space="preserve">Proposition 3 (necessary condition).</w:t>
      </w:r>
      <w:r>
        <w:t xml:space="preserve"> </w:t>
      </w:r>
      <w:r>
        <w:rPr>
          <w:i/>
          <w:iCs/>
        </w:rPr>
        <w:t xml:space="preserve">A finite per-label HCP threshold for</w:t>
      </w:r>
      <w:r>
        <w:rPr>
          <w:i/>
          <w:iCs/>
        </w:rPr>
        <w:t xml:space="preserve"> </w:t>
      </w:r>
      <w:r>
        <w:rPr>
          <w:i/>
          <w:iCs/>
        </w:rPr>
        <w:t xml:space="preserve">label</w:t>
      </w:r>
      <w:r>
        <w:rPr>
          <w:i/>
          <w:iCs/>
        </w:rPr>
        <w:t xml:space="preserve"> </w:t>
      </w:r>
      <m:oMath>
        <m:r>
          <m:t>ℓ</m:t>
        </m:r>
      </m:oMath>
      <w:r>
        <w:rPr>
          <w:i/>
          <w:iCs/>
        </w:rPr>
        <w:t xml:space="preserve"> </w:t>
      </w:r>
      <w:r>
        <w:rPr>
          <w:i/>
          <w:iCs/>
        </w:rPr>
        <w:t xml:space="preserve">at level</w:t>
      </w:r>
      <w:r>
        <w:rPr>
          <w:i/>
          <w:iCs/>
        </w:rPr>
        <w:t xml:space="preserve"> </w:t>
      </w:r>
      <m:oMath>
        <m:r>
          <m:t>α</m:t>
        </m:r>
      </m:oMath>
      <w:r>
        <w:rPr>
          <w:i/>
          <w:iCs/>
        </w:rPr>
        <w:t xml:space="preserve"> </w:t>
      </w:r>
      <w:r>
        <w:rPr>
          <w:i/>
          <w:iCs/>
        </w:rPr>
        <w:t xml:space="preserve">requires</w:t>
      </w:r>
      <w:r>
        <w:rPr>
          <w:i/>
          <w:iCs/>
        </w:rPr>
        <w:t xml:space="preserve"> </w:t>
      </w:r>
      <m:oMath>
        <m:r>
          <m:t>α</m:t>
        </m:r>
        <m:r>
          <m:rPr>
            <m:sty m:val="p"/>
          </m:rPr>
          <m:t>≥</m:t>
        </m:r>
        <m:f>
          <m:fPr>
            <m:type m:val="bar"/>
          </m:fPr>
          <m:num>
            <m:r>
              <m:t>1</m:t>
            </m:r>
          </m:num>
          <m:den>
            <m:sSub>
              <m:e>
                <m:r>
                  <m:t>K</m:t>
                </m:r>
              </m:e>
              <m:sub>
                <m:r>
                  <m:t>1</m:t>
                </m:r>
              </m:sub>
            </m:sSub>
            <m:r>
              <m:rPr>
                <m:sty m:val="p"/>
              </m:rPr>
              <m:t>(</m:t>
            </m:r>
            <m:r>
              <m:t>ℓ</m:t>
            </m:r>
            <m:r>
              <m:rPr>
                <m:sty m:val="p"/>
              </m:rPr>
              <m:t>)</m:t>
            </m:r>
            <m:r>
              <m:rPr>
                <m:sty m:val="p"/>
              </m:rPr>
              <m:t>+</m:t>
            </m:r>
            <m:r>
              <m:t>1</m:t>
            </m:r>
          </m:den>
        </m:f>
      </m:oMath>
      <w:r>
        <w:rPr>
          <w:i/>
          <w:iCs/>
        </w:rPr>
        <w:t xml:space="preserve">, where</w:t>
      </w:r>
      <w:r>
        <w:rPr>
          <w:i/>
          <w:iCs/>
        </w:rPr>
        <w:t xml:space="preserve"> </w:t>
      </w:r>
      <m:oMath>
        <m:sSub>
          <m:e>
            <m:r>
              <m:t>K</m:t>
            </m:r>
          </m:e>
          <m:sub>
            <m:r>
              <m:t>1</m:t>
            </m:r>
          </m:sub>
        </m:sSub>
        <m:r>
          <m:rPr>
            <m:sty m:val="p"/>
          </m:rPr>
          <m:t>(</m:t>
        </m:r>
        <m:r>
          <m:t>ℓ</m:t>
        </m:r>
        <m:r>
          <m:rPr>
            <m:sty m:val="p"/>
          </m:rPr>
          <m:t>)</m:t>
        </m:r>
      </m:oMath>
      <w:r>
        <w:rPr>
          <w:i/>
          <w:iCs/>
        </w:rPr>
        <w:t xml:space="preserve"> </w:t>
      </w:r>
      <w:r>
        <w:rPr>
          <w:i/>
          <w:iCs/>
        </w:rPr>
        <w:t xml:space="preserve">is the number of calibration blocks containing at least one instance</w:t>
      </w:r>
      <w:r>
        <w:rPr>
          <w:i/>
          <w:iCs/>
        </w:rPr>
        <w:t xml:space="preserve"> </w:t>
      </w:r>
      <w:r>
        <w:rPr>
          <w:i/>
          <w:iCs/>
        </w:rPr>
        <w:t xml:space="preserve">of</w:t>
      </w:r>
      <w:r>
        <w:rPr>
          <w:i/>
          <w:iCs/>
        </w:rPr>
        <w:t xml:space="preserve"> </w:t>
      </w:r>
      <m:oMath>
        <m:r>
          <m:t>ℓ</m:t>
        </m:r>
      </m:oMath>
      <w:r>
        <w:rPr>
          <w:i/>
          <w:iCs/>
        </w:rPr>
        <w:t xml:space="preserve">.</w:t>
      </w:r>
    </w:p>
    <w:p>
      <w:pPr>
        <w:pStyle w:val="BodyText"/>
        <w:jc w:val="both"/>
      </w:pPr>
      <w:r>
        <w:t xml:space="preserve">The condition is necessary, not sufficient. When a test observation is</w:t>
      </w:r>
      <w:r>
        <w:t xml:space="preserve"> </w:t>
      </w:r>
      <w:r>
        <w:t xml:space="preserve">conditioned on carrying</w:t>
      </w:r>
      <w:r>
        <w:t xml:space="preserve"> </w:t>
      </w:r>
      <m:oMath>
        <m:r>
          <m:t>ℓ</m:t>
        </m:r>
      </m:oMath>
      <w:r>
        <w:t xml:space="preserve">, its block is drawn with probability proportional</w:t>
      </w:r>
      <w:r>
        <w:t xml:space="preserve"> </w:t>
      </w:r>
      <w:r>
        <w:t xml:space="preserve">to the share of</w:t>
      </w:r>
      <w:r>
        <w:t xml:space="preserve"> </w:t>
      </w:r>
      <m:oMath>
        <m:r>
          <m:t>ℓ</m:t>
        </m:r>
      </m:oMath>
      <w:r>
        <w:t xml:space="preserve">-positive observations it contains, whereas a calibration</w:t>
      </w:r>
      <w:r>
        <w:t xml:space="preserve"> </w:t>
      </w:r>
      <w:r>
        <w:t xml:space="preserve">block qualifies as soon as it contains a single one. Unless that share is the</w:t>
      </w:r>
      <w:r>
        <w:t xml:space="preserve"> </w:t>
      </w:r>
      <w:r>
        <w:t xml:space="preserve">same in every block, test and calibration blocks cease to be exchangeable and the</w:t>
      </w:r>
      <w:r>
        <w:t xml:space="preserve"> </w:t>
      </w:r>
      <w:r>
        <w:t xml:space="preserve">rank argument no longer yields</w:t>
      </w:r>
      <w:r>
        <w:t xml:space="preserve"> </w:t>
      </w:r>
      <m:oMath>
        <m:r>
          <m:rPr>
            <m:scr m:val="double-struck"/>
            <m:sty m:val="p"/>
          </m:rPr>
          <m:t>P</m:t>
        </m:r>
        <m:r>
          <m:rPr>
            <m:sty m:val="p"/>
          </m:rPr>
          <m:t>(</m:t>
        </m:r>
        <m:r>
          <m:t>ℓ</m:t>
        </m:r>
        <m:r>
          <m:rPr>
            <m:sty m:val="p"/>
          </m:rPr>
          <m:t>∈</m:t>
        </m:r>
        <m:acc>
          <m:accPr>
            <m:chr m:val="̂"/>
          </m:accPr>
          <m:e>
            <m:r>
              <m:t>C</m:t>
            </m:r>
          </m:e>
        </m:acc>
        <m:r>
          <m:rPr>
            <m:sty m:val="p"/>
          </m:rPr>
          <m:t>∣</m:t>
        </m:r>
        <m:r>
          <m:t>ℓ</m:t>
        </m:r>
        <m:r>
          <m:rPr>
            <m:sty m:val="p"/>
          </m:rPr>
          <m:t>∈</m:t>
        </m:r>
        <m:r>
          <m:t>Y</m:t>
        </m:r>
        <m:r>
          <m:rPr>
            <m:sty m:val="p"/>
          </m:rPr>
          <m:t>)</m:t>
        </m:r>
        <m:r>
          <m:rPr>
            <m:sty m:val="p"/>
          </m:rPr>
          <m:t>≥</m:t>
        </m:r>
        <m:r>
          <m:t>1</m:t>
        </m:r>
        <m:r>
          <m:rPr>
            <m:sty m:val="p"/>
          </m:rPr>
          <m:t>−</m:t>
        </m:r>
        <m:r>
          <m:t>α</m:t>
        </m:r>
      </m:oMath>
      <w:r>
        <w:t xml:space="preserve">;</w:t>
      </w:r>
      <w:r>
        <w:t xml:space="preserve"> </w:t>
      </w:r>
      <w:r>
        <w:t xml:space="preserve">thresholds under clustering face the same size-biased selection [40].</w:t>
      </w:r>
      <w:r>
        <w:t xml:space="preserve"> </w:t>
      </w:r>
      <w:r>
        <w:t xml:space="preserve">Proposition 3 is accordingly used only to exclude guarantees, never to certify</w:t>
      </w:r>
      <w:r>
        <w:t xml:space="preserve"> </w:t>
      </w:r>
      <w:r>
        <w:t xml:space="preserve">them. Every block that contains a label also contains its ancestors, so</w:t>
      </w:r>
      <w:r>
        <w:t xml:space="preserve"> </w:t>
      </w:r>
      <m:oMath>
        <m:sSub>
          <m:e>
            <m:r>
              <m:t>K</m:t>
            </m:r>
          </m:e>
          <m:sub>
            <m:r>
              <m:t>1</m:t>
            </m:r>
          </m:sub>
        </m:sSub>
        <m:r>
          <m:rPr>
            <m:sty m:val="p"/>
          </m:rPr>
          <m:t>(</m:t>
        </m:r>
        <m:r>
          <m:t>ℓ</m:t>
        </m:r>
        <m:r>
          <m:rPr>
            <m:sty m:val="p"/>
          </m:rPr>
          <m:t>)</m:t>
        </m:r>
      </m:oMath>
      <w:r>
        <w:t xml:space="preserve"> </w:t>
      </w:r>
      <w:r>
        <w:t xml:space="preserve">cannot decrease toward the root, and the condition breaks along a</w:t>
      </w:r>
      <w:r>
        <w:t xml:space="preserve"> </w:t>
      </w:r>
      <w:r>
        <w:t xml:space="preserve">frontier of the taxonomy that metadata suffice to map. A union bound over</w:t>
      </w:r>
      <w:r>
        <w:t xml:space="preserve"> </w:t>
      </w:r>
      <m:oMath>
        <m:r>
          <m:t>m</m:t>
        </m:r>
      </m:oMath>
      <w:r>
        <w:t xml:space="preserve"> </w:t>
      </w:r>
      <w:r>
        <w:t xml:space="preserve">jointly controlled labels raises the requirement to</w:t>
      </w:r>
      <w:r>
        <w:t xml:space="preserve"> </w:t>
      </w:r>
      <m:oMath>
        <m:sSub>
          <m:e>
            <m:r>
              <m:t>K</m:t>
            </m:r>
          </m:e>
          <m:sub>
            <m:r>
              <m:t>1</m:t>
            </m:r>
          </m:sub>
        </m:sSub>
        <m:r>
          <m:rPr>
            <m:sty m:val="p"/>
          </m:rPr>
          <m:t>(</m:t>
        </m:r>
        <m:r>
          <m:t>ℓ</m:t>
        </m:r>
        <m:r>
          <m:rPr>
            <m:sty m:val="p"/>
          </m:rPr>
          <m:t>)</m:t>
        </m:r>
        <m:r>
          <m:rPr>
            <m:sty m:val="p"/>
          </m:rPr>
          <m:t>≥</m:t>
        </m:r>
        <m:r>
          <m:rPr>
            <m:sty m:val="p"/>
          </m:rPr>
          <m:t>⌈</m:t>
        </m:r>
        <m:r>
          <m:t>m</m:t>
        </m:r>
        <m:r>
          <m:rPr>
            <m:sty m:val="p"/>
          </m:rPr>
          <m:t>/</m:t>
        </m:r>
        <m:r>
          <m:t>α</m:t>
        </m:r>
        <m:r>
          <m:rPr>
            <m:sty m:val="p"/>
          </m:rPr>
          <m:t>⌉</m:t>
        </m:r>
        <m:r>
          <m:rPr>
            <m:sty m:val="p"/>
          </m:rPr>
          <m:t>−</m:t>
        </m:r>
        <m:r>
          <m:t>1</m:t>
        </m:r>
      </m:oMath>
      <w:r>
        <w:t xml:space="preserve"> </w:t>
      </w:r>
      <w:r>
        <w:t xml:space="preserve">for each</w:t>
      </w:r>
      <w:r>
        <w:t xml:space="preserve"> </w:t>
      </w:r>
      <m:oMath>
        <m:r>
          <m:t>ℓ</m:t>
        </m:r>
      </m:oMath>
      <w:r>
        <w:t xml:space="preserve">.</w:t>
      </w:r>
    </w:p>
    <w:bookmarkEnd w:id="22"/>
    <w:bookmarkEnd w:id="23"/>
    <w:bookmarkStart w:id="29" w:name="audit-design"/>
    <w:p>
      <w:pPr>
        <w:pStyle w:val="Heading1"/>
      </w:pPr>
      <w:r>
        <w:t xml:space="preserve">4. Audit Design</w:t>
      </w:r>
    </w:p>
    <w:p>
      <w:pPr>
        <w:pStyle w:val="FirstParagraph"/>
        <w:jc w:val="both"/>
      </w:pPr>
      <w:r>
        <w:t xml:space="preserve">The audit runs in two stages. In the first, the three diagnostics of §3 are</w:t>
      </w:r>
      <w:r>
        <w:t xml:space="preserve"> </w:t>
      </w:r>
      <w:r>
        <w:t xml:space="preserve">evaluated from metadata, before any model is trained. In the second, naive split</w:t>
      </w:r>
      <w:r>
        <w:t xml:space="preserve"> </w:t>
      </w:r>
      <w:r>
        <w:t xml:space="preserve">conformal (B1) and HCP (B12) are compared for coverage and set size on held-out</w:t>
      </w:r>
      <w:r>
        <w:t xml:space="preserve"> </w:t>
      </w:r>
      <w:r>
        <w:t xml:space="preserve">blocks, over 200 random block-level splits per configuration and on three</w:t>
      </w:r>
      <w:r>
        <w:t xml:space="preserve"> </w:t>
      </w:r>
      <w:r>
        <w:t xml:space="preserve">backbones with 0.10 M, 7.2 M and 16.0 M parameters. The metadata diagnostics —</w:t>
      </w:r>
      <w:r>
        <w:t xml:space="preserve"> </w:t>
      </w:r>
      <m:oMath>
        <m:sSub>
          <m:e>
            <m:r>
              <m:t>K</m:t>
            </m:r>
          </m:e>
          <m:sub>
            <m:r>
              <m:t>1</m:t>
            </m:r>
          </m:sub>
        </m:sSub>
      </m:oMath>
      <w:r>
        <w:t xml:space="preserve">,</w:t>
      </w:r>
      <w:r>
        <w:t xml:space="preserve"> </w:t>
      </w:r>
      <m:oMath>
        <m:sSub>
          <m:e>
            <m:r>
              <m:t>K</m:t>
            </m:r>
          </m:e>
          <m:sub>
            <m:r>
              <m:t>1</m:t>
            </m:r>
          </m:sub>
        </m:sSub>
        <m:r>
          <m:rPr>
            <m:sty m:val="p"/>
          </m:rPr>
          <m:t>(</m:t>
        </m:r>
        <m:r>
          <m:t>ℓ</m:t>
        </m:r>
        <m:r>
          <m:rPr>
            <m:sty m:val="p"/>
          </m:rPr>
          <m:t>)</m:t>
        </m:r>
      </m:oMath>
      <w:r>
        <w:t xml:space="preserve"> </w:t>
      </w:r>
      <w:r>
        <w:t xml:space="preserve">and the join structure — involve no model and must come out</w:t>
      </w:r>
      <w:r>
        <w:t xml:space="preserve"> </w:t>
      </w:r>
      <w:r>
        <w:t xml:space="preserve">identical for every backbone, which provides a negative control on the pipeline.</w:t>
      </w:r>
      <w:r>
        <w:t xml:space="preserve"> </w:t>
      </w:r>
      <w:r>
        <w:t xml:space="preserve">PTB-XL fold 10 is not used anywhere, and throughout we keep apart what a dataset</w:t>
      </w:r>
      <w:r>
        <w:t xml:space="preserve"> </w:t>
      </w:r>
      <w:r>
        <w:rPr>
          <w:i/>
          <w:iCs/>
        </w:rPr>
        <w:t xml:space="preserve">documents</w:t>
      </w:r>
      <w:r>
        <w:t xml:space="preserve"> </w:t>
      </w:r>
      <w:r>
        <w:t xml:space="preserve">and what can be</w:t>
      </w:r>
      <w:r>
        <w:t xml:space="preserve"> </w:t>
      </w:r>
      <w:r>
        <w:rPr>
          <w:i/>
          <w:iCs/>
        </w:rPr>
        <w:t xml:space="preserve">observed</w:t>
      </w:r>
      <w:r>
        <w:t xml:space="preserve"> </w:t>
      </w:r>
      <w:r>
        <w:t xml:space="preserve">in it. Fig. 1 (§1) shows how the two</w:t>
      </w:r>
      <w:r>
        <w:t xml:space="preserve"> </w:t>
      </w:r>
      <w:r>
        <w:t xml:space="preserve">stages connect: only levels found feasible in the first are audited in the</w:t>
      </w:r>
      <w:r>
        <w:t xml:space="preserve"> </w:t>
      </w:r>
      <w:r>
        <w:t xml:space="preserve">second.</w:t>
      </w:r>
    </w:p>
    <w:bookmarkStart w:id="24" w:name="datasets-and-dependence-structures"/>
    <w:p>
      <w:pPr>
        <w:pStyle w:val="Heading2"/>
      </w:pPr>
      <w:r>
        <w:t xml:space="preserve">4.1 Datasets and dependence structures</w:t>
      </w:r>
    </w:p>
    <w:p>
      <w:pPr>
        <w:pStyle w:val="FirstParagraph"/>
        <w:jc w:val="both"/>
      </w:pPr>
      <w:r>
        <w:t xml:space="preserve">The three datasets serve different purposes and are not replications of one</w:t>
      </w:r>
      <w:r>
        <w:t xml:space="preserve"> </w:t>
      </w:r>
      <w:r>
        <w:t xml:space="preserve">another. Table I states the purpose of each and, for the two primary datasets,</w:t>
      </w:r>
      <w:r>
        <w:t xml:space="preserve"> </w:t>
      </w:r>
      <w:r>
        <w:t xml:space="preserve">the block geometry that puts them at opposite ends of the design-effect axis.</w:t>
      </w:r>
    </w:p>
    <w:p>
      <w:pPr>
        <w:pStyle w:val="BodyText"/>
        <w:keepNext/>
        <w:spacing w:before="160"/>
        <w:jc w:val="center"/>
      </w:pPr>
      <w:r/>
      <w:r>
        <w:rPr>
          <w:sz w:val="18"/>
        </w:rPr>
        <w:t>TABLE I</w:t>
      </w:r>
      <w:r>
        <w:br/>
      </w:r>
      <w:r>
        <w:rPr>
          <w:sz w:val="16"/>
        </w:rPr>
        <w:t>ROLES AND BLOCK GEOMETRY OF THE THREE DATASETS.</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1980"/>
        <w:gridCol w:w="1980"/>
        <w:gridCol w:w="1980"/>
        <w:gridCol w:w="1980"/>
      </w:tblGrid>
      <w:tr>
        <w:trPr>
          <w:tblHeader w:val="on"/>
          <w:cantSplit/>
        </w:trPr>
        <w:tc>
          <w:tcPr/>
          <w:p>
            <w:pPr>
              <w:pStyle w:val="Compact"/>
              <w:keepNext/>
            </w:pPr>
          </w:p>
        </w:tc>
        <w:tc>
          <w:tcPr/>
          <w:p>
            <w:pPr>
              <w:pStyle w:val="Compact"/>
              <w:keepNext/>
            </w:pPr>
            <w:r>
              <w:rPr>
                <w:b/>
                <w:sz w:val="17"/>
              </w:rPr>
              <w:t xml:space="preserve">PTB-XL</w:t>
            </w:r>
          </w:p>
        </w:tc>
        <w:tc>
          <w:tcPr/>
          <w:p>
            <w:pPr>
              <w:pStyle w:val="Compact"/>
              <w:keepNext/>
            </w:pPr>
            <w:r>
              <w:rPr>
                <w:b/>
                <w:sz w:val="17"/>
              </w:rPr>
              <w:t xml:space="preserve">MIT-BIH</w:t>
            </w:r>
          </w:p>
        </w:tc>
        <w:tc>
          <w:tcPr/>
          <w:p>
            <w:pPr>
              <w:pStyle w:val="Compact"/>
              <w:keepNext/>
            </w:pPr>
            <w:r>
              <w:rPr>
                <w:b/>
                <w:sz w:val="17"/>
              </w:rPr>
              <w:t xml:space="preserve">Challenge 2021</w:t>
            </w:r>
          </w:p>
        </w:tc>
      </w:tr>
      <w:tr>
        <w:trPr>
          <w:cantSplit/>
        </w:trPr>
        <w:tc>
          <w:tcPr/>
          <w:p>
            <w:pPr>
              <w:pStyle w:val="Compact"/>
              <w:keepNext/>
            </w:pPr>
            <w:r>
              <w:rPr>
                <w:sz w:val="17"/>
              </w:rPr>
              <w:t xml:space="preserve">Role</w:t>
            </w:r>
          </w:p>
        </w:tc>
        <w:tc>
          <w:tcPr/>
          <w:p>
            <w:pPr>
              <w:pStyle w:val="Compact"/>
              <w:keepNext/>
            </w:pPr>
            <w:r>
              <w:rPr>
                <w:sz w:val="17"/>
              </w:rPr>
              <w:t xml:space="preserve">Primary case: patient-level dependence, multi-label targets, label hierarchy</w:t>
            </w:r>
          </w:p>
        </w:tc>
        <w:tc>
          <w:tcPr/>
          <w:p>
            <w:pPr>
              <w:pStyle w:val="Compact"/>
              <w:keepNext/>
            </w:pPr>
            <w:r>
              <w:rPr>
                <w:sz w:val="17"/>
              </w:rPr>
              <w:t xml:space="preserve">Strong-dependence end of the design-effect axis</w:t>
            </w:r>
          </w:p>
        </w:tc>
        <w:tc>
          <w:tcPr/>
          <w:p>
            <w:pPr>
              <w:pStyle w:val="Compact"/>
              <w:keepNext/>
            </w:pPr>
            <w:r>
              <w:rPr>
                <w:sz w:val="17"/>
              </w:rPr>
              <w:t xml:space="preserve">Case study at the limit of observability</w:t>
            </w:r>
          </w:p>
        </w:tc>
      </w:tr>
      <w:tr>
        <w:trPr>
          <w:cantSplit/>
        </w:trPr>
        <w:tc>
          <w:tcPr/>
          <w:p>
            <w:pPr>
              <w:pStyle w:val="Compact"/>
              <w:keepNext/>
            </w:pPr>
            <w:r>
              <w:rPr>
                <w:sz w:val="17"/>
              </w:rPr>
              <w:t xml:space="preserve">Block identifier</w:t>
            </w:r>
          </w:p>
        </w:tc>
        <w:tc>
          <w:tcPr/>
          <w:p>
            <w:pPr>
              <w:pStyle w:val="Compact"/>
              <w:keepNext/>
            </w:pPr>
            <w:r>
              <w:rPr>
                <w:sz w:val="17"/>
              </w:rPr>
              <w:t xml:space="preserve">Documented (patient_id)</w:t>
            </w:r>
          </w:p>
        </w:tc>
        <w:tc>
          <w:tcPr/>
          <w:p>
            <w:pPr>
              <w:pStyle w:val="Compact"/>
              <w:keepNext/>
            </w:pPr>
            <w:r>
              <w:rPr>
                <w:sz w:val="17"/>
              </w:rPr>
              <w:t xml:space="preserve">Documented (record = subject)</w:t>
            </w:r>
          </w:p>
        </w:tc>
        <w:tc>
          <w:tcPr/>
          <w:p>
            <w:pPr>
              <w:pStyle w:val="Compact"/>
              <w:keepNext/>
            </w:pPr>
            <w:r>
              <w:rPr>
                <w:sz w:val="17"/>
              </w:rPr>
              <w:t xml:space="preserve">Not documented</w:t>
            </w:r>
          </w:p>
        </w:tc>
      </w:tr>
      <w:tr>
        <w:trPr>
          <w:cantSplit/>
        </w:trPr>
        <w:tc>
          <w:tcPr/>
          <w:p>
            <w:pPr>
              <w:pStyle w:val="Compact"/>
              <w:keepNext/>
            </w:pPr>
            <w:r>
              <w:rPr>
                <w:sz w:val="17"/>
              </w:rPr>
              <w:t xml:space="preserve">Block unit</w:t>
            </w:r>
          </w:p>
        </w:tc>
        <w:tc>
          <w:tcPr/>
          <w:p>
            <w:pPr>
              <w:pStyle w:val="Compact"/>
              <w:keepNext/>
            </w:pPr>
            <w:r>
              <w:rPr>
                <w:sz w:val="17"/>
              </w:rPr>
              <w:t xml:space="preserve">patient</w:t>
            </w:r>
          </w:p>
        </w:tc>
        <w:tc>
          <w:tcPr/>
          <w:p>
            <w:pPr>
              <w:pStyle w:val="Compact"/>
              <w:keepNext/>
            </w:pPr>
            <w:r>
              <w:rPr>
                <w:sz w:val="17"/>
              </w:rPr>
              <w:t xml:space="preserve">record (subject)</w:t>
            </w:r>
          </w:p>
        </w:tc>
        <w:tc>
          <w:tcPr/>
          <w:p>
            <w:pPr>
              <w:pStyle w:val="Compact"/>
              <w:keepNext/>
            </w:pPr>
            <w:r>
              <w:rPr>
                <w:sz w:val="17"/>
              </w:rPr>
              <w:t xml:space="preserve">—</w:t>
            </w:r>
          </w:p>
        </w:tc>
      </w:tr>
      <w:tr>
        <w:trPr>
          <w:cantSplit/>
        </w:trPr>
        <w:tc>
          <w:tcPr/>
          <w:p>
            <w:pPr>
              <w:pStyle w:val="Compact"/>
              <w:keepNext/>
            </w:pPr>
            <w:r>
              <w:rPr>
                <w:sz w:val="17"/>
              </w:rPr>
              <w:t xml:space="preserve">Calibration blocks</w:t>
            </w:r>
            <w:r>
              <w:rPr>
                <w:sz w:val="17"/>
              </w:rPr>
              <w:t xml:space="preserve"> </w:t>
            </w:r>
            <m:oMath>
              <m:sSub>
                <m:e>
                  <m:r>
                    <m:t>K</m:t>
                  </m:r>
                </m:e>
                <m:sub>
                  <m:r>
                    <m:t>1</m:t>
                  </m:r>
                </m:sub>
              </m:sSub>
            </m:oMath>
          </w:p>
        </w:tc>
        <w:tc>
          <w:tcPr/>
          <w:p>
            <w:pPr>
              <w:pStyle w:val="Compact"/>
              <w:keepNext/>
            </w:pPr>
            <w:r>
              <w:rPr>
                <w:sz w:val="17"/>
              </w:rPr>
              <w:t xml:space="preserve">958</w:t>
            </w:r>
          </w:p>
        </w:tc>
        <w:tc>
          <w:tcPr/>
          <w:p>
            <w:pPr>
              <w:pStyle w:val="Compact"/>
              <w:keepNext/>
            </w:pPr>
            <w:r>
              <w:rPr>
                <w:sz w:val="17"/>
              </w:rPr>
              <w:t xml:space="preserve">11</w:t>
            </w:r>
          </w:p>
        </w:tc>
        <w:tc>
          <w:tcPr/>
          <w:p>
            <w:pPr>
              <w:pStyle w:val="Compact"/>
              <w:keepNext/>
            </w:pPr>
            <w:r>
              <w:rPr>
                <w:sz w:val="17"/>
              </w:rPr>
              <w:t xml:space="preserve">—</w:t>
            </w:r>
          </w:p>
        </w:tc>
      </w:tr>
      <w:tr>
        <w:trPr>
          <w:cantSplit/>
        </w:trPr>
        <w:tc>
          <w:tcPr/>
          <w:p>
            <w:pPr>
              <w:pStyle w:val="Compact"/>
              <w:keepNext/>
            </w:pPr>
            <w:r>
              <w:rPr>
                <w:sz w:val="17"/>
              </w:rPr>
              <w:t xml:space="preserve">Harmonic mean block size</w:t>
            </w:r>
            <w:r>
              <w:rPr>
                <w:sz w:val="17"/>
              </w:rPr>
              <w:t xml:space="preserve"> </w:t>
            </w:r>
            <m:oMath>
              <m:r>
                <m:t>H</m:t>
              </m:r>
            </m:oMath>
          </w:p>
        </w:tc>
        <w:tc>
          <w:tcPr/>
          <w:p>
            <w:pPr>
              <w:pStyle w:val="Compact"/>
              <w:keepNext/>
            </w:pPr>
            <w:r>
              <w:rPr>
                <w:sz w:val="17"/>
              </w:rPr>
              <w:t xml:space="preserve">1.05</w:t>
            </w:r>
          </w:p>
        </w:tc>
        <w:tc>
          <w:tcPr/>
          <w:p>
            <w:pPr>
              <w:pStyle w:val="Compact"/>
              <w:keepNext/>
            </w:pPr>
            <w:r>
              <w:rPr>
                <w:sz w:val="17"/>
              </w:rPr>
              <w:t xml:space="preserve">1,355</w:t>
            </w:r>
          </w:p>
        </w:tc>
        <w:tc>
          <w:tcPr/>
          <w:p>
            <w:pPr>
              <w:pStyle w:val="Compact"/>
              <w:keepNext/>
            </w:pPr>
            <w:r>
              <w:rPr>
                <w:sz w:val="17"/>
              </w:rPr>
              <w:t xml:space="preserve">—</w:t>
            </w:r>
          </w:p>
        </w:tc>
      </w:tr>
      <w:tr>
        <w:trPr>
          <w:cantSplit/>
        </w:trPr>
        <w:tc>
          <w:tcPr/>
          <w:p>
            <w:pPr>
              <w:pStyle w:val="Compact"/>
            </w:pPr>
            <w:r>
              <w:rPr>
                <w:sz w:val="17"/>
              </w:rPr>
              <w:t xml:space="preserve">Design effect</w:t>
            </w:r>
          </w:p>
        </w:tc>
        <w:tc>
          <w:tcPr/>
          <w:p>
            <w:pPr>
              <w:pStyle w:val="Compact"/>
            </w:pPr>
            <w:r>
              <w:rPr>
                <w:sz w:val="17"/>
              </w:rPr>
              <w:t xml:space="preserve">1.02</w:t>
            </w:r>
          </w:p>
        </w:tc>
        <w:tc>
          <w:tcPr/>
          <w:p>
            <w:pPr>
              <w:pStyle w:val="Compact"/>
            </w:pPr>
            <w:r>
              <w:rPr>
                <w:sz w:val="17"/>
              </w:rPr>
              <w:t xml:space="preserve">703.93</w:t>
            </w:r>
          </w:p>
        </w:tc>
        <w:tc>
          <w:tcPr/>
          <w:p>
            <w:pPr>
              <w:pStyle w:val="Compact"/>
            </w:pPr>
            <w:r>
              <w:rPr>
                <w:sz w:val="17"/>
              </w:rPr>
              <w:t xml:space="preserve">—</w:t>
            </w:r>
          </w:p>
        </w:tc>
      </w:tr>
    </w:tbl>
    <w:p>
      <w:pPr>
        <w:pStyle w:val="BodyText"/>
        <w:jc w:val="both"/>
      </w:pPr>
      <w:r>
        <w:t xml:space="preserve">Within any one dataset the number of blocks and the number of measurements per</w:t>
      </w:r>
      <w:r>
        <w:t xml:space="preserve"> </w:t>
      </w:r>
      <w:r>
        <w:t xml:space="preserve">block come as a package, so a single dataset, however large, cannot separate</w:t>
      </w:r>
      <w:r>
        <w:t xml:space="preserve"> </w:t>
      </w:r>
      <w:r>
        <w:t xml:space="preserve">their effects. Only</w:t>
      </w:r>
      <w:r>
        <w:t xml:space="preserve"> </w:t>
      </w:r>
      <m:oMath>
        <m:r>
          <m:t>H</m:t>
        </m:r>
      </m:oMath>
      <w:r>
        <w:t xml:space="preserve"> </w:t>
      </w:r>
      <w:r>
        <w:t xml:space="preserve">in Table I is a structural property of the data.</w:t>
      </w:r>
      <w:r>
        <w:t xml:space="preserve"> </w:t>
      </w:r>
      <m:oMath>
        <m:sSub>
          <m:e>
            <m:r>
              <m:t>K</m:t>
            </m:r>
          </m:e>
          <m:sub>
            <m:r>
              <m:t>1</m:t>
            </m:r>
          </m:sub>
        </m:sSub>
      </m:oMath>
      <w:r>
        <w:t xml:space="preserve"> </w:t>
      </w:r>
      <w:r>
        <w:t xml:space="preserve">follows from the split design (958 being half of the 1,917 patients in our fold-9</w:t>
      </w:r>
      <w:r>
        <w:t xml:space="preserve"> </w:t>
      </w:r>
      <w:r>
        <w:t xml:space="preserve">evaluation subset), and the design effect depends on the model, since</w:t>
      </w:r>
      <w:r>
        <w:t xml:space="preserve"> </w:t>
      </w:r>
      <m:oMath>
        <m:r>
          <m:t>ρ</m:t>
        </m:r>
      </m:oMath>
      <w:r>
        <w:t xml:space="preserve"> </w:t>
      </w:r>
      <w:r>
        <w:t xml:space="preserve">is</w:t>
      </w:r>
      <w:r>
        <w:t xml:space="preserve"> </w:t>
      </w:r>
      <w:r>
        <w:t xml:space="preserve">the ICC of the scores produced by a particular backbone. Challenge 2021 is not</w:t>
      </w:r>
      <w:r>
        <w:t xml:space="preserve"> </w:t>
      </w:r>
      <w:r>
        <w:t xml:space="preserve">meant to support any claim of generality; it is included because a diagnostic</w:t>
      </w:r>
      <w:r>
        <w:t xml:space="preserve"> </w:t>
      </w:r>
      <w:r>
        <w:t xml:space="preserve">that never returns anything but</w:t>
      </w:r>
      <w:r>
        <w:t xml:space="preserve"> </w:t>
      </w:r>
      <w:r>
        <w:t xml:space="preserve">“admissible”</w:t>
      </w:r>
      <w:r>
        <w:t xml:space="preserve"> </w:t>
      </w:r>
      <w:r>
        <w:t xml:space="preserve">has not shown that it can</w:t>
      </w:r>
      <w:r>
        <w:t xml:space="preserve"> </w:t>
      </w:r>
      <w:r>
        <w:t xml:space="preserve">discriminate.</w:t>
      </w:r>
    </w:p>
    <w:p>
      <w:pPr>
        <w:pStyle w:val="BodyText"/>
        <w:jc w:val="both"/>
      </w:pPr>
      <w:r>
        <w:rPr>
          <w:b/>
          <w:bCs/>
        </w:rPr>
        <w:t xml:space="preserve">PTB-XL.</w:t>
      </w:r>
      <w:r>
        <w:t xml:space="preserve"> </w:t>
      </w:r>
      <w:r>
        <w:t xml:space="preserve">This dataset (version 1.0.3) [2], [15] comprises 21,799 twelve-lead</w:t>
      </w:r>
      <w:r>
        <w:t xml:space="preserve"> </w:t>
      </w:r>
      <w:r>
        <w:t xml:space="preserve">records from 18,869 patients and is distributed with full metadata under a</w:t>
      </w:r>
      <w:r>
        <w:t xml:space="preserve"> </w:t>
      </w:r>
      <w:r>
        <w:t xml:space="preserve">permissive licence. We work with the 100 Hz version, i.e. 1,000 samples per</w:t>
      </w:r>
      <w:r>
        <w:t xml:space="preserve"> </w:t>
      </w:r>
      <w:r>
        <w:t xml:space="preserve">10-second record, filtered with a zero-phase third-order Butterworth band-pass</w:t>
      </w:r>
      <w:r>
        <w:t xml:space="preserve"> </w:t>
      </w:r>
      <w:r>
        <w:t xml:space="preserve">at 0.5–40 Hz and z-normalized per lead and record. Its diagnostic statements fall</w:t>
      </w:r>
      <w:r>
        <w:t xml:space="preserve"> </w:t>
      </w:r>
      <w:r>
        <w:t xml:space="preserve">into five superclasses that are not mutually exclusive; a superclass is assigned</w:t>
      </w:r>
      <w:r>
        <w:t xml:space="preserve"> </w:t>
      </w:r>
      <w:r>
        <w:t xml:space="preserve">when any diagnostic SCP statement of that class appears in the record’s</w:t>
      </w:r>
      <w:r>
        <w:t xml:space="preserve"> </w:t>
      </w:r>
      <w:r>
        <w:t xml:space="preserve">annotation, irrespective of its likelihood value: NORM (9,514), MI (5,469),</w:t>
      </w:r>
      <w:r>
        <w:t xml:space="preserve"> </w:t>
      </w:r>
      <w:r>
        <w:t xml:space="preserve">STTC (5,235), CD (4,898) and HYP (2,649). These amount to 27,765 labels, and 5,144</w:t>
      </w:r>
      <w:r>
        <w:t xml:space="preserve"> </w:t>
      </w:r>
      <w:r>
        <w:t xml:space="preserve">records carry more than one superclass. The 411 records (1.9%) without any</w:t>
      </w:r>
      <w:r>
        <w:t xml:space="preserve"> </w:t>
      </w:r>
      <w:r>
        <w:t xml:space="preserve">diagnostic superclass would be covered trivially under (5), so instead of</w:t>
      </w:r>
      <w:r>
        <w:t xml:space="preserve"> </w:t>
      </w:r>
      <w:r>
        <w:t xml:space="preserve">assigning them a default class we exclude them from calibration and evaluation.</w:t>
      </w:r>
      <w:r>
        <w:t xml:space="preserve"> </w:t>
      </w:r>
      <w:r>
        <w:t xml:space="preserve">Every record has an age (median 62; the 293 records of patients older than 89</w:t>
      </w:r>
      <w:r>
        <w:t xml:space="preserve"> </w:t>
      </w:r>
      <w:r>
        <w:t xml:space="preserve">carry the sentinel value 300), and sex is recorded as 11,354 male and 10,445</w:t>
      </w:r>
      <w:r>
        <w:t xml:space="preserve"> </w:t>
      </w:r>
      <w:r>
        <w:t xml:space="preserve">female.</w:t>
      </w:r>
    </w:p>
    <w:p>
      <w:pPr>
        <w:pStyle w:val="BodyText"/>
        <w:jc w:val="both"/>
      </w:pPr>
      <w:r>
        <w:t xml:space="preserve">Dependence by patient is weak. Patients contribute 1.155 records on average and</w:t>
      </w:r>
      <w:r>
        <w:t xml:space="preserve"> </w:t>
      </w:r>
      <w:r>
        <w:t xml:space="preserve">at most 10, 88.8% of them contribute only one, and the 5,041 records (23.1%) from</w:t>
      </w:r>
      <w:r>
        <w:t xml:space="preserve"> </w:t>
      </w:r>
      <w:r>
        <w:t xml:space="preserve">patients with several records form a minority. Three more grouping variables</w:t>
      </w:r>
      <w:r>
        <w:t xml:space="preserve"> </w:t>
      </w:r>
      <w:r>
        <w:t xml:space="preserve">appear in the metadata — 51 recording sites (17 records missing), 12 nurses</w:t>
      </w:r>
      <w:r>
        <w:t xml:space="preserve"> </w:t>
      </w:r>
      <w:r>
        <w:t xml:space="preserve">(1,473 missing) and 11 devices (none missing) — and they cross rather than nest,</w:t>
      </w:r>
      <w:r>
        <w:t xml:space="preserve"> </w:t>
      </w:r>
      <w:r>
        <w:t xml:space="preserve">which is the situation of Corollary 2. The published stratified ten-fold split is</w:t>
      </w:r>
      <w:r>
        <w:t xml:space="preserve"> </w:t>
      </w:r>
      <w:r>
        <w:t xml:space="preserve">used as released, with 17,418 records in folds 1–8, 2,183 in fold 9 and 2,198 in</w:t>
      </w:r>
      <w:r>
        <w:t xml:space="preserve"> </w:t>
      </w:r>
      <w:r>
        <w:t xml:space="preserve">fold 10, and no patient straddles two folds. Validation by cardiologists is</w:t>
      </w:r>
      <w:r>
        <w:t xml:space="preserve"> </w:t>
      </w:r>
      <w:r>
        <w:t xml:space="preserve">uneven across folds: on average 67.0% of records in folds 1–8 (range 64–68%), but</w:t>
      </w:r>
      <w:r>
        <w:t xml:space="preserve"> </w:t>
      </w:r>
      <w:r>
        <w:t xml:space="preserve">every record in folds 9 and 10. Confirmatory analysis is therefore restricted to</w:t>
      </w:r>
      <w:r>
        <w:t xml:space="preserve"> </w:t>
      </w:r>
      <w:r>
        <w:t xml:space="preserve">folds 9–10, with fold 10 held in reserve and still unexamined.</w:t>
      </w:r>
    </w:p>
    <w:p>
      <w:pPr>
        <w:pStyle w:val="BodyText"/>
        <w:jc w:val="both"/>
      </w:pPr>
      <w:r>
        <w:rPr>
          <w:b/>
          <w:bCs/>
        </w:rPr>
        <w:t xml:space="preserve">MIT-BIH.</w:t>
      </w:r>
      <w:r>
        <w:t xml:space="preserve"> </w:t>
      </w:r>
      <w:r>
        <w:t xml:space="preserve">The MIT-BIH Arrhythmia Database (version 1.0.0) [16] consists of 48</w:t>
      </w:r>
      <w:r>
        <w:t xml:space="preserve"> </w:t>
      </w:r>
      <w:r>
        <w:t xml:space="preserve">two-channel recordings of half an hour each, sampled at 360 Hz and annotated beat</w:t>
      </w:r>
      <w:r>
        <w:t xml:space="preserve"> </w:t>
      </w:r>
      <w:r>
        <w:t xml:space="preserve">by beat by cardiologists. As is customary, the four paced records (102, 104, 107,</w:t>
      </w:r>
      <w:r>
        <w:t xml:space="preserve"> </w:t>
      </w:r>
      <w:r>
        <w:t xml:space="preserve">217) are removed, leaving 44. Mapping the annotations to the five AAMI classes</w:t>
      </w:r>
      <w:r>
        <w:t xml:space="preserve"> </w:t>
      </w:r>
      <w:r>
        <w:t xml:space="preserve">gives 100,733 beats, each represented by a window centered on its annotated R</w:t>
      </w:r>
      <w:r>
        <w:t xml:space="preserve"> </w:t>
      </w:r>
      <w:r>
        <w:t xml:space="preserve">peak, filtered as for PTB-XL and z-normalized per beat. Of these, 40 sit within</w:t>
      </w:r>
      <w:r>
        <w:t xml:space="preserve"> </w:t>
      </w:r>
      <w:r>
        <w:t xml:space="preserve">128 samples of a record boundary, too close to fit a full 256-sample (711 ms)</w:t>
      </w:r>
      <w:r>
        <w:t xml:space="preserve"> </w:t>
      </w:r>
      <w:r>
        <w:t xml:space="preserve">window; we drop them instead of zero-padding, which leaves 100,693. Per class the counts are N 90,087, S 2,781, V 7,008, F 802</w:t>
      </w:r>
      <w:r>
        <w:t xml:space="preserve"> </w:t>
      </w:r>
      <w:r>
        <w:t xml:space="preserve">and Q 15, and class Q is kept and reported as degenerate rather than merged into</w:t>
      </w:r>
      <w:r>
        <w:t xml:space="preserve"> </w:t>
      </w:r>
      <w:r>
        <w:t xml:space="preserve">another class. The MLII lead is chosen by name, because record 114 stores its</w:t>
      </w:r>
      <w:r>
        <w:t xml:space="preserve"> </w:t>
      </w:r>
      <w:r>
        <w:t xml:space="preserve">channels in the order</w:t>
      </w:r>
      <w:r>
        <w:t xml:space="preserve"> </w:t>
      </w:r>
      <w:r>
        <w:rPr>
          <w:rStyle w:val="VerbatimChar"/>
        </w:rPr>
        <w:t xml:space="preserve">[V5, MLII]</w:t>
      </w:r>
      <w:r>
        <w:t xml:space="preserve"> </w:t>
      </w:r>
      <w:r>
        <w:t xml:space="preserve">and choosing by index would quietly</w:t>
      </w:r>
      <w:r>
        <w:t xml:space="preserve"> </w:t>
      </w:r>
      <w:r>
        <w:t xml:space="preserve">substitute a different lead. The canonical inter-patient partition divides the</w:t>
      </w:r>
      <w:r>
        <w:t xml:space="preserve"> </w:t>
      </w:r>
      <w:r>
        <w:t xml:space="preserve">records into DS1 and DS2, 22 records each, holding 51,000 and 49,693 beats once</w:t>
      </w:r>
      <w:r>
        <w:t xml:space="preserve"> </w:t>
      </w:r>
      <w:r>
        <w:t xml:space="preserve">boundary beats are removed. Record length ranges from 1,517 to 3,361 beats</w:t>
      </w:r>
      <w:r>
        <w:t xml:space="preserve"> </w:t>
      </w:r>
      <w:r>
        <w:t xml:space="preserve">(median 2,257), three orders of magnitude more than a PTB-XL block. Records 201</w:t>
      </w:r>
      <w:r>
        <w:t xml:space="preserve"> </w:t>
      </w:r>
      <w:r>
        <w:t xml:space="preserve">and 202 belong to one subject yet land on opposite sides of the partition; we</w:t>
      </w:r>
      <w:r>
        <w:t xml:space="preserve"> </w:t>
      </w:r>
      <w:r>
        <w:t xml:space="preserve">retain the standard split for comparability and disclose the leak.</w:t>
      </w:r>
    </w:p>
    <w:p>
      <w:pPr>
        <w:pStyle w:val="BodyText"/>
        <w:jc w:val="both"/>
      </w:pPr>
      <w:r>
        <w:rPr>
          <w:b/>
          <w:bCs/>
        </w:rPr>
        <w:t xml:space="preserve">Challenge 2021.</w:t>
      </w:r>
      <w:r>
        <w:t xml:space="preserve"> </w:t>
      </w:r>
      <w:r>
        <w:t xml:space="preserve">The PhysioNet/CinC Challenge 2021 collection (version 1.0.3)</w:t>
      </w:r>
      <w:r>
        <w:t xml:space="preserve"> </w:t>
      </w:r>
      <w:r>
        <w:t xml:space="preserve">[17] holds 66,416 records in seven non-duplicate source folders (its</w:t>
      </w:r>
      <w:r>
        <w:t xml:space="preserve"> </w:t>
      </w:r>
      <w:r>
        <w:rPr>
          <w:rStyle w:val="VerbatimChar"/>
        </w:rPr>
        <w:t xml:space="preserve">ptb-xl</w:t>
      </w:r>
      <w:r>
        <w:t xml:space="preserve"> </w:t>
      </w:r>
      <w:r>
        <w:t xml:space="preserve">folder repeats PTB-XL and is left out). No header field in a sample drawn from</w:t>
      </w:r>
      <w:r>
        <w:t xml:space="preserve"> </w:t>
      </w:r>
      <w:r>
        <w:t xml:space="preserve">all seven sources is documented as a patient identifier, whereas repetition is</w:t>
      </w:r>
      <w:r>
        <w:t xml:space="preserve"> </w:t>
      </w:r>
      <w:r>
        <w:t xml:space="preserve">documented, so independent units are fewer than records and the unobservable</w:t>
      </w:r>
      <w:r>
        <w:t xml:space="preserve"> </w:t>
      </w:r>
      <w:r>
        <w:t xml:space="preserve">partition is no evidence of independence (Appendix C). The only documented</w:t>
      </w:r>
      <w:r>
        <w:t xml:space="preserve"> </w:t>
      </w:r>
      <w:r>
        <w:t xml:space="preserve">grouping is the source partition, with</w:t>
      </w:r>
      <w:r>
        <w:t xml:space="preserve"> </w:t>
      </w:r>
      <m:oMath>
        <m:r>
          <m:t>K</m:t>
        </m:r>
        <m:r>
          <m:rPr>
            <m:sty m:val="p"/>
          </m:rPr>
          <m:t>=</m:t>
        </m:r>
        <m:r>
          <m:t>7</m:t>
        </m:r>
      </m:oMath>
      <w:r>
        <w:t xml:space="preserve">, so by Proposition 1 any calibration</w:t>
      </w:r>
      <w:r>
        <w:t xml:space="preserve"> </w:t>
      </w:r>
      <w:r>
        <w:t xml:space="preserve">on it has</w:t>
      </w:r>
      <w:r>
        <w:t xml:space="preserve"> </w:t>
      </w:r>
      <m:oMath>
        <m:sSub>
          <m:e>
            <m:r>
              <m:t>α</m:t>
            </m:r>
          </m:e>
          <m:sub>
            <m:r>
              <m:rPr>
                <m:sty m:val="p"/>
              </m:rPr>
              <m:t>min</m:t>
            </m:r>
          </m:sub>
        </m:sSub>
        <m:r>
          <m:rPr>
            <m:sty m:val="p"/>
          </m:rPr>
          <m:t>≥</m:t>
        </m:r>
        <m:r>
          <m:t>1</m:t>
        </m:r>
        <m:r>
          <m:rPr>
            <m:sty m:val="p"/>
          </m:rPr>
          <m:t>/</m:t>
        </m:r>
        <m:r>
          <m:t>8</m:t>
        </m:r>
      </m:oMath>
      <w:r>
        <w:t xml:space="preserve">, or</w:t>
      </w:r>
      <w:r>
        <w:t xml:space="preserve"> </w:t>
      </w:r>
      <m:oMath>
        <m:r>
          <m:t>1</m:t>
        </m:r>
        <m:r>
          <m:rPr>
            <m:sty m:val="p"/>
          </m:rPr>
          <m:t>/</m:t>
        </m:r>
        <m:r>
          <m:t>7</m:t>
        </m:r>
      </m:oMath>
      <w:r>
        <w:t xml:space="preserve"> </w:t>
      </w:r>
      <w:r>
        <w:t xml:space="preserve">when one source is held out; for the</w:t>
      </w:r>
      <w:r>
        <w:t xml:space="preserve"> </w:t>
      </w:r>
      <w:r>
        <w:t xml:space="preserve">patient partition</w:t>
      </w:r>
      <w:r>
        <w:t xml:space="preserve"> </w:t>
      </w:r>
      <m:oMath>
        <m:sSub>
          <m:e>
            <m:r>
              <m:t>K</m:t>
            </m:r>
          </m:e>
          <m:sub>
            <m:r>
              <m:t>1</m:t>
            </m:r>
          </m:sub>
        </m:sSub>
      </m:oMath>
      <w:r>
        <w:t xml:space="preserve"> </w:t>
      </w:r>
      <w:r>
        <w:t xml:space="preserve">becomes an assumption that authors must state.</w:t>
      </w:r>
    </w:p>
    <w:bookmarkEnd w:id="24"/>
    <w:bookmarkStart w:id="25" w:name="calibration-and-evaluation-protocol"/>
    <w:p>
      <w:pPr>
        <w:pStyle w:val="Heading2"/>
      </w:pPr>
      <w:r>
        <w:t xml:space="preserve">4.2 Calibration and evaluation protocol</w:t>
      </w:r>
    </w:p>
    <w:p>
      <w:pPr>
        <w:pStyle w:val="FirstParagraph"/>
        <w:jc w:val="both"/>
      </w:pPr>
      <w:r>
        <w:t xml:space="preserve">B1 is split conformal prediction calibrated as though records or beats were</w:t>
      </w:r>
      <w:r>
        <w:t xml:space="preserve"> </w:t>
      </w:r>
      <w:r>
        <w:t xml:space="preserve">exchangeable, and B12 is HCP calibrated at the block level [13]. What we ask is</w:t>
      </w:r>
      <w:r>
        <w:t xml:space="preserve"> </w:t>
      </w:r>
      <w:r>
        <w:t xml:space="preserve">whether any guarantee can be enforced, not which hierarchical construction is</w:t>
      </w:r>
      <w:r>
        <w:t xml:space="preserve"> </w:t>
      </w:r>
      <w:r>
        <w:t xml:space="preserve">the most efficient; the constructions of Dunn et al. [14] and non-hierarchical</w:t>
      </w:r>
      <w:r>
        <w:t xml:space="preserve"> </w:t>
      </w:r>
      <w:r>
        <w:t xml:space="preserve">alternatives such as Mondrian conformal prediction therefore lie outside the</w:t>
      </w:r>
      <w:r>
        <w:t xml:space="preserve"> </w:t>
      </w:r>
      <w:r>
        <w:t xml:space="preserve">comparison.</w:t>
      </w:r>
    </w:p>
    <w:p>
      <w:pPr>
        <w:pStyle w:val="BodyText"/>
        <w:jc w:val="both"/>
      </w:pPr>
      <w:r>
        <w:t xml:space="preserve">For PTB-XL, folds 1–6 are used for training and fold 7 for validation, and fold 9</w:t>
      </w:r>
      <w:r>
        <w:t xml:space="preserve"> </w:t>
      </w:r>
      <w:r>
        <w:t xml:space="preserve">is divided at the patient level into calibration and evaluation halves, with</w:t>
      </w:r>
      <w:r>
        <w:t xml:space="preserve"> </w:t>
      </w:r>
      <w:r>
        <w:t xml:space="preserve">200–400 repetitions. Fold 8 is left out because its label quality differs from</w:t>
      </w:r>
      <w:r>
        <w:t xml:space="preserve"> </w:t>
      </w:r>
      <w:r>
        <w:t xml:space="preserve">that of fold 9, and fold 10 is kept for a single final confirmatory evaluation.</w:t>
      </w:r>
      <w:r>
        <w:t xml:space="preserve"> </w:t>
      </w:r>
      <w:r>
        <w:t xml:space="preserve">For MIT-BIH, training uses DS1 minus four validation records (124, 205, 215,</w:t>
      </w:r>
      <w:r>
        <w:t xml:space="preserve"> </w:t>
      </w:r>
      <w:r>
        <w:t xml:space="preserve">230), validation uses those four, and DS2 is divided 11/11 at the record level</w:t>
      </w:r>
      <w:r>
        <w:t xml:space="preserve"> </w:t>
      </w:r>
      <w:r>
        <w:t xml:space="preserve">into calibration and evaluation, again with 200–400 repetitions.</w:t>
      </w:r>
    </w:p>
    <w:p>
      <w:pPr>
        <w:pStyle w:val="BodyText"/>
        <w:jc w:val="both"/>
      </w:pPr>
      <w:r>
        <w:t xml:space="preserve">Coverage is computed on the held-out blocks of each split as the fraction of</w:t>
      </w:r>
      <w:r>
        <w:t xml:space="preserve"> </w:t>
      </w:r>
      <w:r>
        <w:t xml:space="preserve">their observations covered (beats for MIT-BIH, records for PTB-XL) and then</w:t>
      </w:r>
      <w:r>
        <w:t xml:space="preserve"> </w:t>
      </w:r>
      <w:r>
        <w:t xml:space="preserve">averaged over splits. This observation-weighted coverage is the natural target</w:t>
      </w:r>
      <w:r>
        <w:t xml:space="preserve"> </w:t>
      </w:r>
      <w:r>
        <w:t xml:space="preserve">of split conformal, whose nominal statement concerns one exchangeable</w:t>
      </w:r>
      <w:r>
        <w:t xml:space="preserve"> </w:t>
      </w:r>
      <w:r>
        <w:t xml:space="preserve">observation. The guarantee (2) of HCP concerns one observation from a new block</w:t>
      </w:r>
      <w:r>
        <w:t xml:space="preserve"> </w:t>
      </w:r>
      <w:r>
        <w:t xml:space="preserve">instead, and its empirical counterpart averages coverage within each test block</w:t>
      </w:r>
      <w:r>
        <w:t xml:space="preserve"> </w:t>
      </w:r>
      <w:r>
        <w:t xml:space="preserve">before averaging over blocks. The two coincide when test blocks have equal size</w:t>
      </w:r>
      <w:r>
        <w:t xml:space="preserve"> </w:t>
      </w:r>
      <w:r>
        <w:t xml:space="preserve">and nearly so on PTB-XL, where most blocks hold one record; MIT-BIH records</w:t>
      </w:r>
      <w:r>
        <w:t xml:space="preserve"> </w:t>
      </w:r>
      <w:r>
        <w:t xml:space="preserve">differ in length by a factor of up to 2.2, so for MIT-BIH both are reported</w:t>
      </w:r>
      <w:r>
        <w:t xml:space="preserve"> </w:t>
      </w:r>
      <w:r>
        <w:t xml:space="preserve">(§5.3). On PTB-XL the coverage reported is superset coverage (5), obtained from</w:t>
      </w:r>
      <w:r>
        <w:t xml:space="preserve"> </w:t>
      </w:r>
      <w:r>
        <w:t xml:space="preserve">the maximum score over the true labels.</w:t>
      </w:r>
    </w:p>
    <w:bookmarkEnd w:id="25"/>
    <w:bookmarkStart w:id="26" w:name="models-and-conformity-scores"/>
    <w:p>
      <w:pPr>
        <w:pStyle w:val="Heading2"/>
      </w:pPr>
      <w:r>
        <w:t xml:space="preserve">4.3 Models and conformity scores</w:t>
      </w:r>
    </w:p>
    <w:p>
      <w:pPr>
        <w:pStyle w:val="FirstParagraph"/>
        <w:jc w:val="both"/>
      </w:pPr>
      <w:r>
        <w:t xml:space="preserve">Because conformal guarantees do not depend on the model, the choice of backbone</w:t>
      </w:r>
      <w:r>
        <w:t xml:space="preserve"> </w:t>
      </w:r>
      <w:r>
        <w:t xml:space="preserve">changes how large prediction sets are, not whether they are valid. The primary</w:t>
      </w:r>
      <w:r>
        <w:t xml:space="preserve"> </w:t>
      </w:r>
      <w:r>
        <w:t xml:space="preserve">backbone, SmallECGNet, is a compact 1-D convolutional network with 104,389</w:t>
      </w:r>
      <w:r>
        <w:t xml:space="preserve"> </w:t>
      </w:r>
      <w:r>
        <w:t xml:space="preserve">parameters for 12-lead input and 101,925 for a single lead. Each audit is rerun</w:t>
      </w:r>
      <w:r>
        <w:t xml:space="preserve"> </w:t>
      </w:r>
      <w:r>
        <w:t xml:space="preserve">with two 1-D residual networks of the PTB-XL benchmark family [1], ResNet1D-34</w:t>
      </w:r>
      <w:r>
        <w:t xml:space="preserve"> </w:t>
      </w:r>
      <w:r>
        <w:t xml:space="preserve">(7,225,733 / 7,220,805 parameters) and ResNet1D-50 (15,969,413 / 15,964,485).</w:t>
      </w:r>
      <w:r>
        <w:t xml:space="preserve"> </w:t>
      </w:r>
      <w:r>
        <w:t xml:space="preserve">These are trained with Adam at a learning rate of</w:t>
      </w:r>
      <w:r>
        <w:t xml:space="preserve"> </w:t>
      </w:r>
      <m:oMath>
        <m:sSup>
          <m:e>
            <m:r>
              <m:t>10</m:t>
            </m:r>
          </m:e>
          <m:sup>
            <m:r>
              <m:rPr>
                <m:sty m:val="p"/>
              </m:rPr>
              <m:t>−</m:t>
            </m:r>
            <m:r>
              <m:t>3</m:t>
            </m:r>
          </m:sup>
        </m:sSup>
      </m:oMath>
      <w:r>
        <w:t xml:space="preserve">, with early stopping</w:t>
      </w:r>
      <w:r>
        <w:t xml:space="preserve"> </w:t>
      </w:r>
      <w:r>
        <w:t xml:space="preserve">on validation loss (patience 5) and a cap of 25 epochs on PTB-XL and 30 on</w:t>
      </w:r>
      <w:r>
        <w:t xml:space="preserve"> </w:t>
      </w:r>
      <w:r>
        <w:t xml:space="preserve">MIT-BIH; the SmallECGNet weights come from the primary study, which used the same</w:t>
      </w:r>
      <w:r>
        <w:t xml:space="preserve"> </w:t>
      </w:r>
      <w:r>
        <w:t xml:space="preserve">optimizer and stopping rule, and are not retrained. Losses are binary cross-entropy</w:t>
      </w:r>
      <w:r>
        <w:t xml:space="preserve"> </w:t>
      </w:r>
      <w:r>
        <w:t xml:space="preserve">over the five superclasses for PTB-XL and cross-entropy over the five AAMI</w:t>
      </w:r>
      <w:r>
        <w:t xml:space="preserve"> </w:t>
      </w:r>
      <w:r>
        <w:t xml:space="preserve">classes for MIT-BIH, without class weighting. Batches hold 128 records (PTB-XL)</w:t>
      </w:r>
      <w:r>
        <w:t xml:space="preserve"> </w:t>
      </w:r>
      <w:r>
        <w:t xml:space="preserve">or 256 beats (MIT-BIH); for the residual networks they are accumulated from</w:t>
      </w:r>
      <w:r>
        <w:t xml:space="preserve"> </w:t>
      </w:r>
      <w:r>
        <w:t xml:space="preserve">micro-batches of 32 or 64, so batch-normalization statistics are computed per</w:t>
      </w:r>
      <w:r>
        <w:t xml:space="preserve"> </w:t>
      </w:r>
      <w:r>
        <w:t xml:space="preserve">micro-batch. The primary backbone attains a macro-AUROC of 0.9016 on PTB-XL and, on</w:t>
      </w:r>
      <w:r>
        <w:t xml:space="preserve"> </w:t>
      </w:r>
      <w:r>
        <w:t xml:space="preserve">MIT-BIH, an accuracy of 0.8690 with balanced accuracy 0.3748 and macro-F1 0.3144.</w:t>
      </w:r>
      <w:r>
        <w:t xml:space="preserve"> </w:t>
      </w:r>
      <w:r>
        <w:t xml:space="preserve">The backbones were not tuned for discrimination, by design: conformal validity</w:t>
      </w:r>
      <w:r>
        <w:t xml:space="preserve"> </w:t>
      </w:r>
      <w:r>
        <w:t xml:space="preserve">holds for any score function fixed before calibration, so a weak minority-class</w:t>
      </w:r>
      <w:r>
        <w:t xml:space="preserve"> </w:t>
      </w:r>
      <w:r>
        <w:t xml:space="preserve">score enlarges prediction sets without affecting the coverage being audited, and</w:t>
      </w:r>
      <w:r>
        <w:t xml:space="preserve"> </w:t>
      </w:r>
      <w:r>
        <w:t xml:space="preserve">the three backbones serve to show that no conclusion hinges on one score.</w:t>
      </w:r>
      <w:r>
        <w:t xml:space="preserve"> </w:t>
      </w:r>
      <w:r>
        <w:t xml:space="preserve">Scores are</w:t>
      </w:r>
      <w:r>
        <w:t xml:space="preserve"> </w:t>
      </w:r>
      <m:oMath>
        <m:r>
          <m:t>s</m:t>
        </m:r>
        <m:r>
          <m:rPr>
            <m:sty m:val="p"/>
          </m:rPr>
          <m:t>(</m:t>
        </m:r>
        <m:r>
          <m:t>x</m:t>
        </m:r>
        <m:r>
          <m:rPr>
            <m:sty m:val="p"/>
          </m:rPr>
          <m:t>,</m:t>
        </m:r>
        <m:r>
          <m:t>y</m:t>
        </m:r>
        <m:r>
          <m:rPr>
            <m:sty m:val="p"/>
          </m:rPr>
          <m:t>)</m:t>
        </m:r>
        <m:r>
          <m:rPr>
            <m:sty m:val="p"/>
          </m:rPr>
          <m:t>=</m:t>
        </m:r>
        <m:r>
          <m:t>1</m:t>
        </m:r>
        <m:r>
          <m:rPr>
            <m:sty m:val="p"/>
          </m:rPr>
          <m:t>−</m:t>
        </m:r>
        <m:sSub>
          <m:e>
            <m:acc>
              <m:accPr>
                <m:chr m:val="̂"/>
              </m:accPr>
              <m:e>
                <m:r>
                  <m:t>p</m:t>
                </m:r>
              </m:e>
            </m:acc>
          </m:e>
          <m:sub>
            <m:r>
              <m:t>y</m:t>
            </m:r>
          </m:sub>
        </m:sSub>
        <m:r>
          <m:rPr>
            <m:sty m:val="p"/>
          </m:rPr>
          <m:t>(</m:t>
        </m:r>
        <m:r>
          <m:t>x</m:t>
        </m:r>
        <m:r>
          <m:rPr>
            <m:sty m:val="p"/>
          </m:rPr>
          <m:t>)</m:t>
        </m:r>
      </m:oMath>
      <w:r>
        <w:t xml:space="preserve"> </w:t>
      </w:r>
      <w:r>
        <w:t xml:space="preserve">for multi-class MIT-BIH and</w:t>
      </w:r>
      <w:r>
        <w:t xml:space="preserve"> </w:t>
      </w:r>
      <m:oMath>
        <m:r>
          <m:t>1</m:t>
        </m:r>
        <m:r>
          <m:rPr>
            <m:sty m:val="p"/>
          </m:rPr>
          <m:t>−</m:t>
        </m:r>
        <m:sSub>
          <m:e>
            <m:acc>
              <m:accPr>
                <m:chr m:val="̂"/>
              </m:accPr>
              <m:e>
                <m:r>
                  <m:t>σ</m:t>
                </m:r>
              </m:e>
            </m:acc>
          </m:e>
          <m:sub>
            <m:r>
              <m:t>ℓ</m:t>
            </m:r>
          </m:sub>
        </m:sSub>
        <m:r>
          <m:rPr>
            <m:sty m:val="p"/>
          </m:rPr>
          <m:t>(</m:t>
        </m:r>
        <m:r>
          <m:t>x</m:t>
        </m:r>
        <m:r>
          <m:rPr>
            <m:sty m:val="p"/>
          </m:rPr>
          <m:t>)</m:t>
        </m:r>
      </m:oMath>
      <w:r>
        <w:t xml:space="preserve"> </w:t>
      </w:r>
      <w:r>
        <w:t xml:space="preserve">per label for multi-label PTB-XL, where the record-level</w:t>
      </w:r>
      <w:r>
        <w:t xml:space="preserve"> </w:t>
      </w:r>
      <w:r>
        <w:t xml:space="preserve">score for superset coverage is the maximum over the true labels and thus reduces</w:t>
      </w:r>
      <w:r>
        <w:t xml:space="preserve"> </w:t>
      </w:r>
      <w:r>
        <w:t xml:space="preserve">to scalar HCP (§3.4).</w:t>
      </w:r>
    </w:p>
    <w:bookmarkEnd w:id="26"/>
    <w:bookmarkStart w:id="27" w:name="statistical-analysis"/>
    <w:p>
      <w:pPr>
        <w:pStyle w:val="Heading2"/>
      </w:pPr>
      <w:r>
        <w:t xml:space="preserve">4.4 Statistical analysis</w:t>
      </w:r>
    </w:p>
    <w:p>
      <w:pPr>
        <w:pStyle w:val="FirstParagraph"/>
        <w:jc w:val="both"/>
      </w:pPr>
      <w:r>
        <w:t xml:space="preserve">Resampling always acts on blocks, whether patients or records, and never on</w:t>
      </w:r>
      <w:r>
        <w:t xml:space="preserve"> </w:t>
      </w:r>
      <w:r>
        <w:t xml:space="preserve">single records or beats, since doing so would reproduce the very error under</w:t>
      </w:r>
      <w:r>
        <w:t xml:space="preserve"> </w:t>
      </w:r>
      <w:r>
        <w:t xml:space="preserve">study. Two kinds of uncertainty are distinguished. Intervals computed over</w:t>
      </w:r>
      <w:r>
        <w:t xml:space="preserve"> </w:t>
      </w:r>
      <w:r>
        <w:t xml:space="preserve">repeated random splits of a fixed set of blocks describe the Monte Carlo</w:t>
      </w:r>
      <w:r>
        <w:t xml:space="preserve"> </w:t>
      </w:r>
      <w:r>
        <w:t xml:space="preserve">variability of the split procedure on those blocks; they narrow as splits are</w:t>
      </w:r>
      <w:r>
        <w:t xml:space="preserve"> </w:t>
      </w:r>
      <w:r>
        <w:t xml:space="preserve">added and are not confidence intervals for the patient population. For the</w:t>
      </w:r>
      <w:r>
        <w:t xml:space="preserve"> </w:t>
      </w:r>
      <w:r>
        <w:t xml:space="preserve">central MIT-BIH comparison we therefore also treat records as the sampling unit,</w:t>
      </w:r>
      <w:r>
        <w:t xml:space="preserve"> </w:t>
      </w:r>
      <w:r>
        <w:t xml:space="preserve">through a leave-one-record-out jackknife over the 22 DS2 records with Holm</w:t>
      </w:r>
      <w:r>
        <w:t xml:space="preserve"> </w:t>
      </w:r>
      <w:r>
        <w:t xml:space="preserve">correction across the three</w:t>
      </w:r>
      <w:r>
        <w:t xml:space="preserve"> </w:t>
      </w:r>
      <m:oMath>
        <m:r>
          <m:t>α</m:t>
        </m:r>
      </m:oMath>
      <w:r>
        <w:t xml:space="preserve"> </w:t>
      </w:r>
      <w:r>
        <w:t xml:space="preserve">levels of each backbone; this was added as a</w:t>
      </w:r>
      <w:r>
        <w:t xml:space="preserve"> </w:t>
      </w:r>
      <w:r>
        <w:t xml:space="preserve">post hoc sensitivity analysis once the distinction was noticed. The analyses</w:t>
      </w:r>
      <w:r>
        <w:t xml:space="preserve"> </w:t>
      </w:r>
      <w:r>
        <w:t xml:space="preserve">follow an internal analysis protocol that was kept under version control from the</w:t>
      </w:r>
      <w:r>
        <w:t xml:space="preserve"> </w:t>
      </w:r>
      <w:r>
        <w:t xml:space="preserve">start of the project; it was not publicly registered or formally frozen, and its</w:t>
      </w:r>
      <w:r>
        <w:t xml:space="preserve"> </w:t>
      </w:r>
      <w:r>
        <w:t xml:space="preserve">deviation log, released with the code, lists every departure from the initial</w:t>
      </w:r>
      <w:r>
        <w:t xml:space="preserve"> </w:t>
      </w:r>
      <w:r>
        <w:t xml:space="preserve">plan. Friedman–Nemenyi tests are deliberately avoided: they are meant for many</w:t>
      </w:r>
      <w:r>
        <w:t xml:space="preserve"> </w:t>
      </w:r>
      <w:r>
        <w:t xml:space="preserve">classifiers over many datasets, conventionally five or more, and are</w:t>
      </w:r>
      <w:r>
        <w:t xml:space="preserve"> </w:t>
      </w:r>
      <w:r>
        <w:t xml:space="preserve">uninformative with two.</w:t>
      </w:r>
    </w:p>
    <w:p>
      <w:pPr>
        <w:pStyle w:val="BodyText"/>
        <w:jc w:val="both"/>
      </w:pPr>
      <w:r>
        <w:t xml:space="preserve">The controls are constructed as follows. The permutation null reassigns beats to</w:t>
      </w:r>
      <w:r>
        <w:t xml:space="preserve"> </w:t>
      </w:r>
      <w:r>
        <w:t xml:space="preserve">DS2 records by one random permutation of their record labels, which preserves</w:t>
      </w:r>
      <w:r>
        <w:t xml:space="preserve"> </w:t>
      </w:r>
      <w:r>
        <w:t xml:space="preserve">every block size; the observed and permuted arms are evaluated on the same</w:t>
      </w:r>
      <w:r>
        <w:t xml:space="preserve"> </w:t>
      </w:r>
      <w:r>
        <w:t xml:space="preserve">sequence of splits. In the factorial design, the clustered arm uses the original</w:t>
      </w:r>
      <w:r>
        <w:t xml:space="preserve"> </w:t>
      </w:r>
      <w:r>
        <w:t xml:space="preserve">records and the randomized arm the permuted ones; in the balanced arm every</w:t>
      </w:r>
      <w:r>
        <w:t xml:space="preserve"> </w:t>
      </w:r>
      <w:r>
        <w:t xml:space="preserve">calibration record is subsampled to 1,355 beats (60% of the mean record length)</w:t>
      </w:r>
      <w:r>
        <w:t xml:space="preserve"> </w:t>
      </w:r>
      <w:r>
        <w:t xml:space="preserve">and in the imbalanced arm to 60% of its own length, so that calibration sizes</w:t>
      </w:r>
      <w:r>
        <w:t xml:space="preserve"> </w:t>
      </w:r>
      <w:r>
        <w:t xml:space="preserve">match in expectation, while test records are used in full. The dose–response</w:t>
      </w:r>
      <w:r>
        <w:t xml:space="preserve"> </w:t>
      </w:r>
      <w:r>
        <w:t xml:space="preserve">experiment permutes the record labels of a random fraction</w:t>
      </w:r>
      <w:r>
        <w:t xml:space="preserve"> </w:t>
      </w:r>
      <m:oMath>
        <m:r>
          <m:t>p</m:t>
        </m:r>
        <m:r>
          <m:rPr>
            <m:sty m:val="p"/>
          </m:rPr>
          <m:t>∈</m:t>
        </m:r>
        <m:r>
          <m:rPr>
            <m:sty m:val="p"/>
          </m:rPr>
          <m:t>{</m:t>
        </m:r>
        <m:r>
          <m:t>0</m:t>
        </m:r>
        <m:r>
          <m:rPr>
            <m:sty m:val="p"/>
          </m:rPr>
          <m:t>,</m:t>
        </m:r>
        <m:r>
          <m:t>0.1</m:t>
        </m:r>
        <m:r>
          <m:rPr>
            <m:sty m:val="p"/>
          </m:rPr>
          <m:t>,</m:t>
        </m:r>
        <m:r>
          <m:rPr>
            <m:sty m:val="p"/>
          </m:rPr>
          <m:t>…</m:t>
        </m:r>
        <m:r>
          <m:rPr>
            <m:sty m:val="p"/>
          </m:rPr>
          <m:t>,</m:t>
        </m:r>
        <m:r>
          <m:t>1</m:t>
        </m:r>
        <m:r>
          <m:rPr>
            <m:sty m:val="p"/>
          </m:rPr>
          <m:t>}</m:t>
        </m:r>
      </m:oMath>
      <w:r>
        <w:t xml:space="preserve"> </w:t>
      </w:r>
      <w:r>
        <w:t xml:space="preserve">of beats, again preserving block sizes, and subsamples</w:t>
      </w:r>
      <w:r>
        <w:t xml:space="preserve"> </w:t>
      </w:r>
      <w:r>
        <w:t xml:space="preserve">calibration records to 1,355 beats. Intraclass correlations use the one-way</w:t>
      </w:r>
      <w:r>
        <w:t xml:space="preserve"> </w:t>
      </w:r>
      <w:r>
        <w:t xml:space="preserve">ANOVA estimator for unbalanced designs,</w:t>
      </w:r>
      <w:r>
        <w:t xml:space="preserve"> </w:t>
      </w:r>
      <m:oMath>
        <m:r>
          <m:rPr>
            <m:sty m:val="p"/>
          </m:rPr>
          <m:t>(</m:t>
        </m:r>
        <m:r>
          <m:rPr>
            <m:sty m:val="p"/>
          </m:rPr>
          <m:t>M</m:t>
        </m:r>
        <m:r>
          <m:rPr>
            <m:sty m:val="p"/>
          </m:rPr>
          <m:t>S</m:t>
        </m:r>
        <m:r>
          <m:rPr>
            <m:sty m:val="p"/>
          </m:rPr>
          <m:t>B</m:t>
        </m:r>
        <m:r>
          <m:rPr>
            <m:sty m:val="p"/>
          </m:rPr>
          <m:t>−</m:t>
        </m:r>
        <m:r>
          <m:rPr>
            <m:sty m:val="p"/>
          </m:rPr>
          <m:t>M</m:t>
        </m:r>
        <m:r>
          <m:rPr>
            <m:sty m:val="p"/>
          </m:rPr>
          <m:t>S</m:t>
        </m:r>
        <m:r>
          <m:rPr>
            <m:sty m:val="p"/>
          </m:rPr>
          <m:t>W</m:t>
        </m:r>
        <m:r>
          <m:rPr>
            <m:sty m:val="p"/>
          </m:rPr>
          <m:t>)</m:t>
        </m:r>
        <m:r>
          <m:rPr>
            <m:sty m:val="p"/>
          </m:rPr>
          <m:t>/</m:t>
        </m:r>
        <m:r>
          <m:rPr>
            <m:sty m:val="p"/>
          </m:rPr>
          <m:t>{</m:t>
        </m:r>
        <m:r>
          <m:rPr>
            <m:sty m:val="p"/>
          </m:rPr>
          <m:t>M</m:t>
        </m:r>
        <m:r>
          <m:rPr>
            <m:sty m:val="p"/>
          </m:rPr>
          <m:t>S</m:t>
        </m:r>
        <m:r>
          <m:rPr>
            <m:sty m:val="p"/>
          </m:rPr>
          <m:t>B</m:t>
        </m:r>
        <m:r>
          <m:rPr>
            <m:sty m:val="p"/>
          </m:rPr>
          <m:t>+</m:t>
        </m:r>
        <m:r>
          <m:rPr>
            <m:sty m:val="p"/>
          </m:rPr>
          <m:t>(</m:t>
        </m:r>
        <m:sSub>
          <m:e>
            <m:r>
              <m:t>N</m:t>
            </m:r>
          </m:e>
          <m:sub>
            <m:r>
              <m:t>0</m:t>
            </m:r>
          </m:sub>
        </m:sSub>
        <m:r>
          <m:rPr>
            <m:sty m:val="p"/>
          </m:rPr>
          <m:t>−</m:t>
        </m:r>
        <m:r>
          <m:t>1</m:t>
        </m:r>
        <m:r>
          <m:rPr>
            <m:sty m:val="p"/>
          </m:rPr>
          <m:t>)</m:t>
        </m:r>
        <m:r>
          <m:rPr>
            <m:sty m:val="p"/>
          </m:rPr>
          <m:t>M</m:t>
        </m:r>
        <m:r>
          <m:rPr>
            <m:sty m:val="p"/>
          </m:rPr>
          <m:t>S</m:t>
        </m:r>
        <m:r>
          <m:rPr>
            <m:sty m:val="p"/>
          </m:rPr>
          <m:t>W</m:t>
        </m:r>
        <m:r>
          <m:rPr>
            <m:sty m:val="p"/>
          </m:rPr>
          <m:t>}</m:t>
        </m:r>
      </m:oMath>
      <w:r>
        <w:t xml:space="preserve">, on conformity</w:t>
      </w:r>
      <w:r>
        <w:t xml:space="preserve"> </w:t>
      </w:r>
      <w:r>
        <w:t xml:space="preserve">scores (on PTB-XL, the superset score of (5)); the indicator version uses the</w:t>
      </w:r>
      <w:r>
        <w:t xml:space="preserve"> </w:t>
      </w:r>
      <w:r>
        <w:t xml:space="preserve">threshold</w:t>
      </w:r>
      <w:r>
        <w:t xml:space="preserve"> </w:t>
      </w:r>
      <m:oMath>
        <m:r>
          <m:t>t</m:t>
        </m:r>
      </m:oMath>
      <w:r>
        <w:t xml:space="preserve"> </w:t>
      </w:r>
      <w:r>
        <w:t xml:space="preserve">equal to the</w:t>
      </w:r>
      <w:r>
        <w:t xml:space="preserve"> </w:t>
      </w:r>
      <m:oMath>
        <m:r>
          <m:rPr>
            <m:sty m:val="p"/>
          </m:rPr>
          <m:t>(</m:t>
        </m:r>
        <m:r>
          <m:t>1</m:t>
        </m:r>
        <m:r>
          <m:rPr>
            <m:sty m:val="p"/>
          </m:rPr>
          <m:t>−</m:t>
        </m:r>
        <m:r>
          <m:t>α</m:t>
        </m:r>
        <m:r>
          <m:rPr>
            <m:sty m:val="p"/>
          </m:rPr>
          <m:t>)</m:t>
        </m:r>
      </m:oMath>
      <w:r>
        <w:t xml:space="preserve"> </w:t>
      </w:r>
      <w:r>
        <w:t xml:space="preserve">quantile of all evaluation scores. The</w:t>
      </w:r>
      <w:r>
        <w:t xml:space="preserve"> </w:t>
      </w:r>
      <w:r>
        <w:t xml:space="preserve">procedure used for each reported quantity is listed in Table II.</w:t>
      </w:r>
    </w:p>
    <w:p>
      <w:pPr>
        <w:pStyle w:val="BodyText"/>
        <w:keepNext/>
        <w:spacing w:before="160"/>
        <w:jc w:val="center"/>
      </w:pPr>
      <w:r/>
      <w:r>
        <w:rPr>
          <w:sz w:val="18"/>
        </w:rPr>
        <w:t>TABLE II</w:t>
      </w:r>
      <w:r>
        <w:br/>
      </w:r>
      <w:r>
        <w:rPr>
          <w:sz w:val="16"/>
        </w:rPr>
        <w:t>STATISTICAL PROCEDURES.</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3960"/>
        <w:gridCol w:w="3960"/>
      </w:tblGrid>
      <w:tr>
        <w:trPr>
          <w:tblHeader w:val="on"/>
          <w:cantSplit/>
        </w:trPr>
        <w:tc>
          <w:tcPr/>
          <w:p>
            <w:pPr>
              <w:pStyle w:val="Compact"/>
              <w:keepNext/>
            </w:pPr>
            <w:r>
              <w:rPr>
                <w:b/>
                <w:sz w:val="17"/>
              </w:rPr>
              <w:t xml:space="preserve">Quantity</w:t>
            </w:r>
          </w:p>
        </w:tc>
        <w:tc>
          <w:tcPr/>
          <w:p>
            <w:pPr>
              <w:pStyle w:val="Compact"/>
              <w:keepNext/>
            </w:pPr>
            <w:r>
              <w:rPr>
                <w:b/>
                <w:sz w:val="17"/>
              </w:rPr>
              <w:t xml:space="preserve">Procedure</w:t>
            </w:r>
          </w:p>
        </w:tc>
      </w:tr>
      <w:tr>
        <w:trPr>
          <w:cantSplit/>
        </w:trPr>
        <w:tc>
          <w:tcPr/>
          <w:p>
            <w:pPr>
              <w:pStyle w:val="Compact"/>
            </w:pPr>
            <w:r>
              <w:rPr>
                <w:sz w:val="17"/>
              </w:rPr>
              <w:t xml:space="preserve">Coverage and set size</w:t>
            </w:r>
          </w:p>
        </w:tc>
        <w:tc>
          <w:tcPr/>
          <w:p>
            <w:pPr>
              <w:pStyle w:val="Compact"/>
            </w:pPr>
            <w:r>
              <w:rPr>
                <w:sz w:val="17"/>
              </w:rPr>
              <w:t xml:space="preserve">Mean over 200 random block-level splits; 2.5–97.5% range across splits</w:t>
            </w:r>
          </w:p>
        </w:tc>
      </w:tr>
      <w:tr>
        <w:trPr>
          <w:cantSplit/>
        </w:trPr>
        <w:tc>
          <w:tcPr/>
          <w:p>
            <w:pPr>
              <w:pStyle w:val="Compact"/>
            </w:pPr>
            <w:r>
              <w:rPr>
                <w:sz w:val="17"/>
              </w:rPr>
              <w:t xml:space="preserve">B1 deficit against the permutation null</w:t>
            </w:r>
          </w:p>
        </w:tc>
        <w:tc>
          <w:tcPr/>
          <w:p>
            <w:pPr>
              <w:pStyle w:val="Compact"/>
            </w:pPr>
            <w:r>
              <w:rPr>
                <w:sz w:val="17"/>
              </w:rPr>
              <w:t xml:space="preserve">Paired splits (200); Monte Carlo 95% interval from a percentile bootstrap of split-level coverage (4,000 resamples)</w:t>
            </w:r>
          </w:p>
        </w:tc>
      </w:tr>
      <w:tr>
        <w:trPr>
          <w:cantSplit/>
        </w:trPr>
        <w:tc>
          <w:tcPr/>
          <w:p>
            <w:pPr>
              <w:pStyle w:val="Compact"/>
            </w:pPr>
            <w:r>
              <w:rPr>
                <w:sz w:val="17"/>
              </w:rPr>
              <w:t xml:space="preserve">B1 deficit, record level</w:t>
            </w:r>
          </w:p>
        </w:tc>
        <w:tc>
          <w:tcPr/>
          <w:p>
            <w:pPr>
              <w:pStyle w:val="Compact"/>
            </w:pPr>
            <w:r>
              <w:rPr>
                <w:sz w:val="17"/>
              </w:rPr>
              <w:t xml:space="preserve">Leave-one-record-out jackknife over the 22 DS2 records (500 paired splits per replicate, new permutation per replicate);</w:t>
            </w:r>
            <w:r>
              <w:rPr>
                <w:sz w:val="17"/>
              </w:rPr>
              <w:t xml:space="preserve"> </w:t>
            </w:r>
            <m:oMath>
              <m:r>
                <m:t>t</m:t>
              </m:r>
            </m:oMath>
            <w:r>
              <w:rPr>
                <w:sz w:val="17"/>
              </w:rPr>
              <w:t xml:space="preserve"> </w:t>
            </w:r>
            <w:r>
              <w:rPr>
                <w:sz w:val="17"/>
              </w:rPr>
              <w:t xml:space="preserve">interval with 21 df; one-sided</w:t>
            </w:r>
            <w:r>
              <w:rPr>
                <w:sz w:val="17"/>
              </w:rPr>
              <w:t xml:space="preserve"> </w:t>
            </w:r>
            <m:oMath>
              <m:r>
                <m:t>t</m:t>
              </m:r>
            </m:oMath>
            <w:r>
              <w:rPr>
                <w:sz w:val="17"/>
              </w:rPr>
              <w:t xml:space="preserve"> </w:t>
            </w:r>
            <w:r>
              <w:rPr>
                <w:sz w:val="17"/>
              </w:rPr>
              <w:t xml:space="preserve">test</w:t>
            </w:r>
          </w:p>
        </w:tc>
      </w:tr>
      <w:tr>
        <w:trPr>
          <w:cantSplit/>
        </w:trPr>
        <w:tc>
          <w:tcPr/>
          <w:p>
            <w:pPr>
              <w:pStyle w:val="Compact"/>
            </w:pPr>
            <w:r>
              <w:rPr>
                <w:sz w:val="17"/>
              </w:rPr>
              <w:t xml:space="preserve">Multiplicity</w:t>
            </w:r>
          </w:p>
        </w:tc>
        <w:tc>
          <w:tcPr/>
          <w:p>
            <w:pPr>
              <w:pStyle w:val="Compact"/>
            </w:pPr>
            <w:r>
              <w:rPr>
                <w:sz w:val="17"/>
              </w:rPr>
              <w:t xml:space="preserve">Holm–Bonferroni across the three</w:t>
            </w:r>
            <w:r>
              <w:rPr>
                <w:sz w:val="17"/>
              </w:rPr>
              <w:t xml:space="preserve"> </w:t>
            </w:r>
            <m:oMath>
              <m:r>
                <m:t>α</m:t>
              </m:r>
            </m:oMath>
            <w:r>
              <w:rPr>
                <w:sz w:val="17"/>
              </w:rPr>
              <w:t xml:space="preserve"> </w:t>
            </w:r>
            <w:r>
              <w:rPr>
                <w:sz w:val="17"/>
              </w:rPr>
              <w:t xml:space="preserve">levels within each backbone (record-level test)</w:t>
            </w:r>
          </w:p>
        </w:tc>
      </w:tr>
      <w:tr>
        <w:trPr>
          <w:cantSplit/>
        </w:trPr>
        <w:tc>
          <w:tcPr/>
          <w:p>
            <w:pPr>
              <w:pStyle w:val="Compact"/>
            </w:pPr>
            <w:r>
              <w:rPr>
                <w:sz w:val="17"/>
              </w:rPr>
              <w:t xml:space="preserve">Factorial effects</w:t>
            </w:r>
          </w:p>
        </w:tc>
        <w:tc>
          <w:tcPr/>
          <w:p>
            <w:pPr>
              <w:pStyle w:val="Compact"/>
            </w:pPr>
            <w:r>
              <w:rPr>
                <w:sz w:val="17"/>
              </w:rPr>
              <w:t xml:space="preserve">400 splits; Monte Carlo 95% interval: percentile bootstrap (3,000 resamples)</w:t>
            </w:r>
          </w:p>
        </w:tc>
      </w:tr>
      <w:tr>
        <w:trPr>
          <w:cantSplit/>
        </w:trPr>
        <w:tc>
          <w:tcPr/>
          <w:p>
            <w:pPr>
              <w:pStyle w:val="Compact"/>
            </w:pPr>
            <w:r>
              <w:rPr>
                <w:sz w:val="17"/>
              </w:rPr>
              <w:t xml:space="preserve">Dose–response points</w:t>
            </w:r>
          </w:p>
        </w:tc>
        <w:tc>
          <w:tcPr/>
          <w:p>
            <w:pPr>
              <w:pStyle w:val="Compact"/>
            </w:pPr>
            <w:r>
              <w:rPr>
                <w:sz w:val="17"/>
              </w:rPr>
              <w:t xml:space="preserve">300 splits per point; Monte Carlo 95% interval: percentile bootstrap (3,000 resamples)</w:t>
            </w:r>
          </w:p>
        </w:tc>
      </w:tr>
      <w:tr>
        <w:trPr>
          <w:cantSplit/>
        </w:trPr>
        <w:tc>
          <w:tcPr/>
          <w:p>
            <w:pPr>
              <w:pStyle w:val="Compact"/>
            </w:pPr>
            <w:r>
              <w:rPr>
                <w:sz w:val="17"/>
              </w:rPr>
              <w:t xml:space="preserve">Monotonicity in dependence</w:t>
            </w:r>
          </w:p>
        </w:tc>
        <w:tc>
          <w:tcPr/>
          <w:p>
            <w:pPr>
              <w:pStyle w:val="Compact"/>
            </w:pPr>
            <w:r>
              <w:rPr>
                <w:sz w:val="17"/>
              </w:rPr>
              <w:t xml:space="preserve">Spearman correlation across configurations (descriptive; points share the same records)</w:t>
            </w:r>
          </w:p>
        </w:tc>
      </w:tr>
      <w:tr>
        <w:trPr>
          <w:cantSplit/>
        </w:trPr>
        <w:tc>
          <w:tcPr/>
          <w:p>
            <w:pPr>
              <w:pStyle w:val="Compact"/>
            </w:pPr>
            <w:r>
              <w:rPr>
                <w:sz w:val="17"/>
              </w:rPr>
              <w:t xml:space="preserve">Sensitivity to checkpoint</w:t>
            </w:r>
          </w:p>
        </w:tc>
        <w:tc>
          <w:tcPr/>
          <w:p>
            <w:pPr>
              <w:pStyle w:val="Compact"/>
            </w:pPr>
            <w:r>
              <w:rPr>
                <w:sz w:val="17"/>
              </w:rPr>
              <w:t xml:space="preserve">Agreement of signs between best-validation and last-epoch weights</w:t>
            </w:r>
          </w:p>
        </w:tc>
      </w:tr>
    </w:tbl>
    <w:bookmarkEnd w:id="27"/>
    <w:bookmarkStart w:id="28" w:name="reproducibility"/>
    <w:p>
      <w:pPr>
        <w:pStyle w:val="Heading2"/>
      </w:pPr>
      <w:r>
        <w:t xml:space="preserve">4.5 Reproducibility</w:t>
      </w:r>
    </w:p>
    <w:p>
      <w:pPr>
        <w:pStyle w:val="FirstParagraph"/>
        <w:jc w:val="both"/>
      </w:pPr>
      <w:r>
        <w:t xml:space="preserve">Experiments run on CPU (Intel Core i5-7200U, 2 threads) with Python 3.14.6,</w:t>
      </w:r>
      <w:r>
        <w:t xml:space="preserve"> </w:t>
      </w:r>
      <w:r>
        <w:t xml:space="preserve">PyTorch 2.14.0, NumPy 2.5.2, SciPy 1.18.1, scikit-learn 1.9.1, pandas 3.0.6 and</w:t>
      </w:r>
      <w:r>
        <w:t xml:space="preserve"> </w:t>
      </w:r>
      <w:r>
        <w:t xml:space="preserve">wfdb 4.3.1, using seed 0 for every analysis. Each reported number is</w:t>
      </w:r>
      <w:r>
        <w:t xml:space="preserve"> </w:t>
      </w:r>
      <w:r>
        <w:t xml:space="preserve">stored, together with its configuration, as a JSON artifact under</w:t>
      </w:r>
      <w:r>
        <w:t xml:space="preserve"> </w:t>
      </w:r>
      <w:r>
        <w:rPr>
          <w:rStyle w:val="VerbatimChar"/>
        </w:rPr>
        <w:t xml:space="preserve">results/raw/</w:t>
      </w:r>
      <w:r>
        <w:t xml:space="preserve">,</w:t>
      </w:r>
      <w:r>
        <w:t xml:space="preserve"> </w:t>
      </w:r>
      <w:r>
        <w:t xml:space="preserve">and dataset caches are written atomically so that an interrupted run cannot leave</w:t>
      </w:r>
      <w:r>
        <w:t xml:space="preserve"> </w:t>
      </w:r>
      <w:r>
        <w:t xml:space="preserve">a partial cache behind.</w:t>
      </w:r>
    </w:p>
    <w:bookmarkEnd w:id="28"/>
    <w:bookmarkEnd w:id="29"/>
    <w:bookmarkStart w:id="53" w:name="results"/>
    <w:p>
      <w:pPr>
        <w:pStyle w:val="Heading1"/>
      </w:pPr>
      <w:r>
        <w:t xml:space="preserve">5. Results</w:t>
      </w:r>
    </w:p>
    <w:p>
      <w:pPr>
        <w:pStyle w:val="FirstParagraph"/>
        <w:jc w:val="both"/>
      </w:pPr>
      <w:r>
        <w:t xml:space="preserve">The results are presented in the order of the audit: feasibility from metadata</w:t>
      </w:r>
      <w:r>
        <w:t xml:space="preserve"> </w:t>
      </w:r>
      <w:r>
        <w:t xml:space="preserve">(§5.1), coverage (§5.2), attribution (§5.3), dose–response (§5.4) and robustness</w:t>
      </w:r>
      <w:r>
        <w:t xml:space="preserve"> </w:t>
      </w:r>
      <w:r>
        <w:t xml:space="preserve">(§5.5). B1 and B12 are as defined in §4.2, and</w:t>
      </w:r>
      <w:r>
        <w:t xml:space="preserve"> </w:t>
      </w:r>
      <m:oMath>
        <m:sSub>
          <m:e>
            <m:r>
              <m:t>α</m:t>
            </m:r>
          </m:e>
          <m:sub>
            <m:r>
              <m:rPr>
                <m:sty m:val="p"/>
              </m:rPr>
              <m:t>min</m:t>
            </m:r>
          </m:sub>
        </m:sSub>
        <m:r>
          <m:rPr>
            <m:sty m:val="p"/>
          </m:rPr>
          <m:t>=</m:t>
        </m:r>
        <m:r>
          <m:t>1</m:t>
        </m:r>
        <m:r>
          <m:rPr>
            <m:sty m:val="p"/>
          </m:rPr>
          <m:t>/</m:t>
        </m:r>
        <m:r>
          <m:rPr>
            <m:sty m:val="p"/>
          </m:rPr>
          <m:t>(</m:t>
        </m:r>
        <m:sSub>
          <m:e>
            <m:r>
              <m:t>K</m:t>
            </m:r>
          </m:e>
          <m:sub>
            <m:r>
              <m:t>1</m:t>
            </m:r>
          </m:sub>
        </m:sSub>
        <m:r>
          <m:rPr>
            <m:sty m:val="p"/>
          </m:rPr>
          <m:t>+</m:t>
        </m:r>
        <m:r>
          <m:t>1</m:t>
        </m:r>
        <m:r>
          <m:rPr>
            <m:sty m:val="p"/>
          </m:rPr>
          <m:t>)</m:t>
        </m:r>
      </m:oMath>
      <w:r>
        <w:t xml:space="preserve">.</w:t>
      </w:r>
    </w:p>
    <w:bookmarkStart w:id="36" w:name="X703171b6c9ef8344f5ae4ef526c91a89ce0ec43"/>
    <w:p>
      <w:pPr>
        <w:pStyle w:val="Heading2"/>
      </w:pPr>
      <w:r>
        <w:t xml:space="preserve">5.1 Feasibility is decided by the partition, not by the model</w:t>
      </w:r>
    </w:p>
    <w:p>
      <w:pPr>
        <w:pStyle w:val="FirstParagraph"/>
        <w:jc w:val="both"/>
      </w:pPr>
      <w:r>
        <w:rPr>
          <w:b/>
          <w:bCs/>
        </w:rPr>
        <w:t xml:space="preserve">Granularity.</w:t>
      </w:r>
      <w:r>
        <w:t xml:space="preserve"> </w:t>
      </w:r>
      <w:r>
        <w:t xml:space="preserve">In the PTB-XL calibration fold (fold 9, 2,183 records), blocking</w:t>
      </w:r>
      <w:r>
        <w:t xml:space="preserve"> </w:t>
      </w:r>
      <w:r>
        <w:t xml:space="preserve">by patient is feasible at every conventional</w:t>
      </w:r>
      <w:r>
        <w:t xml:space="preserve"> </w:t>
      </w:r>
      <m:oMath>
        <m:r>
          <m:t>α</m:t>
        </m:r>
      </m:oMath>
      <w:r>
        <w:t xml:space="preserve">, while each coarser source</w:t>
      </w:r>
      <w:r>
        <w:t xml:space="preserve"> </w:t>
      </w:r>
      <w:r>
        <w:t xml:space="preserve">restricts the range of admissible levels. For every grouping, Table III gives the</w:t>
      </w:r>
      <w:r>
        <w:t xml:space="preserve"> </w:t>
      </w:r>
      <w:r>
        <w:t xml:space="preserve">number of calibration blocks, the resulting</w:t>
      </w:r>
      <w:r>
        <w:t xml:space="preserve"> </w:t>
      </w:r>
      <m:oMath>
        <m:sSub>
          <m:e>
            <m:r>
              <m:t>α</m:t>
            </m:r>
          </m:e>
          <m:sub>
            <m:r>
              <m:rPr>
                <m:sty m:val="p"/>
              </m:rPr>
              <m:t>min</m:t>
            </m:r>
          </m:sub>
        </m:sSub>
      </m:oMath>
      <w:r>
        <w:t xml:space="preserve"> </w:t>
      </w:r>
      <w:r>
        <w:t xml:space="preserve">and the conventional</w:t>
      </w:r>
      <w:r>
        <w:t xml:space="preserve"> </w:t>
      </w:r>
      <w:r>
        <w:t xml:space="preserve">levels that remain attainable.</w:t>
      </w:r>
    </w:p>
    <w:p>
      <w:pPr>
        <w:pStyle w:val="BodyText"/>
        <w:keepNext/>
        <w:spacing w:before="160"/>
        <w:jc w:val="center"/>
      </w:pPr>
      <w:r/>
      <w:r>
        <w:rPr>
          <w:sz w:val="18"/>
        </w:rPr>
        <w:t>TABLE III</w:t>
      </w:r>
      <w:r>
        <w:br/>
      </w:r>
      <w:r>
        <w:rPr>
          <w:sz w:val="16"/>
        </w:rPr>
        <w:t>FEASIBILITY OF HCP ON PTB-XL FOLD 9 BY GROUPING.</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766"/>
        <w:gridCol w:w="1021"/>
        <w:gridCol w:w="1021"/>
        <w:gridCol w:w="1021"/>
        <w:gridCol w:w="1021"/>
        <w:gridCol w:w="766"/>
        <w:gridCol w:w="766"/>
        <w:gridCol w:w="766"/>
        <w:gridCol w:w="766"/>
      </w:tblGrid>
      <w:tr>
        <w:trPr>
          <w:tblHeader w:val="on"/>
          <w:cantSplit/>
        </w:trPr>
        <w:tc>
          <w:tcPr/>
          <w:p>
            <w:pPr>
              <w:pStyle w:val="Compact"/>
              <w:keepNext/>
            </w:pPr>
            <w:r>
              <w:rPr>
                <w:b/>
                <w:sz w:val="17"/>
              </w:rPr>
              <w:t xml:space="preserve">Grouping</w:t>
            </w:r>
          </w:p>
        </w:tc>
        <w:tc>
          <w:tcPr/>
          <w:p>
            <w:pPr>
              <w:pStyle w:val="Compact"/>
              <w:keepNext/>
              <w:jc w:val="right"/>
            </w:pPr>
            <w:r>
              <w:rPr>
                <w:b/>
                <w:sz w:val="17"/>
              </w:rPr>
              <w:t xml:space="preserve">Blocks (all folds)</w:t>
            </w:r>
          </w:p>
        </w:tc>
        <w:tc>
          <w:tcPr/>
          <w:p>
            <w:pPr>
              <w:pStyle w:val="Compact"/>
              <w:keepNext/>
              <w:jc w:val="right"/>
            </w:pPr>
            <m:oMath>
              <m:sSub>
                <m:e>
                  <m:r>
                    <m:t>K</m:t>
                  </m:r>
                </m:e>
                <m:sub>
                  <m:r>
                    <m:t>1</m:t>
                  </m:r>
                </m:sub>
              </m:sSub>
            </m:oMath>
          </w:p>
        </w:tc>
        <w:tc>
          <w:tcPr/>
          <w:p>
            <w:pPr>
              <w:pStyle w:val="Compact"/>
              <w:keepNext/>
              <w:jc w:val="right"/>
            </w:pPr>
            <w:r>
              <w:rPr>
                <w:b/>
                <w:sz w:val="17"/>
              </w:rPr>
              <w:t xml:space="preserve">Mean block size</w:t>
            </w:r>
          </w:p>
        </w:tc>
        <w:tc>
          <w:tcPr/>
          <w:p>
            <w:pPr>
              <w:pStyle w:val="Compact"/>
              <w:keepNext/>
              <w:jc w:val="right"/>
            </w:pPr>
            <m:oMath>
              <m:sSub>
                <m:e>
                  <m:r>
                    <m:t>α</m:t>
                  </m:r>
                </m:e>
                <m:sub>
                  <m:r>
                    <m:rPr>
                      <m:sty m:val="p"/>
                    </m:rPr>
                    <m:t>min</m:t>
                  </m:r>
                </m:sub>
              </m:sSub>
            </m:oMath>
          </w:p>
        </w:tc>
        <w:tc>
          <w:tcPr/>
          <w:p>
            <w:pPr>
              <w:pStyle w:val="Compact"/>
              <w:keepNext/>
              <w:jc w:val="center"/>
            </w:pPr>
            <w:r>
              <w:rPr>
                <w:b/>
                <w:sz w:val="17"/>
              </w:rPr>
              <w:t xml:space="preserve">0.01</w:t>
            </w:r>
          </w:p>
        </w:tc>
        <w:tc>
          <w:tcPr/>
          <w:p>
            <w:pPr>
              <w:pStyle w:val="Compact"/>
              <w:keepNext/>
              <w:jc w:val="center"/>
            </w:pPr>
            <w:r>
              <w:rPr>
                <w:b/>
                <w:sz w:val="17"/>
              </w:rPr>
              <w:t xml:space="preserve">0.05</w:t>
            </w:r>
          </w:p>
        </w:tc>
        <w:tc>
          <w:tcPr/>
          <w:p>
            <w:pPr>
              <w:pStyle w:val="Compact"/>
              <w:keepNext/>
              <w:jc w:val="center"/>
            </w:pPr>
            <w:r>
              <w:rPr>
                <w:b/>
                <w:sz w:val="17"/>
              </w:rPr>
              <w:t xml:space="preserve">0.10</w:t>
            </w:r>
          </w:p>
        </w:tc>
        <w:tc>
          <w:tcPr/>
          <w:p>
            <w:pPr>
              <w:pStyle w:val="Compact"/>
              <w:keepNext/>
              <w:jc w:val="center"/>
            </w:pPr>
            <w:r>
              <w:rPr>
                <w:b/>
                <w:sz w:val="17"/>
              </w:rPr>
              <w:t xml:space="preserve">0.20</w:t>
            </w:r>
          </w:p>
        </w:tc>
      </w:tr>
      <w:tr>
        <w:trPr>
          <w:cantSplit/>
        </w:trPr>
        <w:tc>
          <w:tcPr/>
          <w:p>
            <w:pPr>
              <w:pStyle w:val="Compact"/>
              <w:keepNext/>
            </w:pPr>
            <w:r>
              <w:rPr>
                <w:sz w:val="17"/>
              </w:rPr>
              <w:t xml:space="preserve">patient_id</w:t>
            </w:r>
          </w:p>
        </w:tc>
        <w:tc>
          <w:tcPr/>
          <w:p>
            <w:pPr>
              <w:pStyle w:val="Compact"/>
              <w:keepNext/>
              <w:jc w:val="right"/>
            </w:pPr>
            <w:r>
              <w:rPr>
                <w:sz w:val="17"/>
              </w:rPr>
              <w:t xml:space="preserve">18,869</w:t>
            </w:r>
          </w:p>
        </w:tc>
        <w:tc>
          <w:tcPr/>
          <w:p>
            <w:pPr>
              <w:pStyle w:val="Compact"/>
              <w:keepNext/>
              <w:jc w:val="right"/>
            </w:pPr>
            <w:r>
              <w:rPr>
                <w:sz w:val="17"/>
              </w:rPr>
              <w:t xml:space="preserve">1,942</w:t>
            </w:r>
          </w:p>
        </w:tc>
        <w:tc>
          <w:tcPr/>
          <w:p>
            <w:pPr>
              <w:pStyle w:val="Compact"/>
              <w:keepNext/>
              <w:jc w:val="right"/>
            </w:pPr>
            <w:r>
              <w:rPr>
                <w:sz w:val="17"/>
              </w:rPr>
              <w:t xml:space="preserve">1.12</w:t>
            </w:r>
          </w:p>
        </w:tc>
        <w:tc>
          <w:tcPr/>
          <w:p>
            <w:pPr>
              <w:pStyle w:val="Compact"/>
              <w:keepNext/>
              <w:jc w:val="right"/>
            </w:pPr>
            <w:r>
              <w:rPr>
                <w:sz w:val="17"/>
              </w:rPr>
              <w:t xml:space="preserve">0.00051</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r>
      <w:tr>
        <w:trPr>
          <w:cantSplit/>
        </w:trPr>
        <w:tc>
          <w:tcPr/>
          <w:p>
            <w:pPr>
              <w:pStyle w:val="Compact"/>
              <w:keepNext/>
            </w:pPr>
            <w:r>
              <w:rPr>
                <w:sz w:val="17"/>
              </w:rPr>
              <w:t xml:space="preserve">site</w:t>
            </w:r>
          </w:p>
        </w:tc>
        <w:tc>
          <w:tcPr/>
          <w:p>
            <w:pPr>
              <w:pStyle w:val="Compact"/>
              <w:keepNext/>
              <w:jc w:val="right"/>
            </w:pPr>
            <w:r>
              <w:rPr>
                <w:sz w:val="17"/>
              </w:rPr>
              <w:t xml:space="preserve">51</w:t>
            </w:r>
          </w:p>
        </w:tc>
        <w:tc>
          <w:tcPr/>
          <w:p>
            <w:pPr>
              <w:pStyle w:val="Compact"/>
              <w:keepNext/>
              <w:jc w:val="right"/>
            </w:pPr>
            <w:r>
              <w:rPr>
                <w:sz w:val="17"/>
              </w:rPr>
              <w:t xml:space="preserve">40</w:t>
            </w:r>
          </w:p>
        </w:tc>
        <w:tc>
          <w:tcPr/>
          <w:p>
            <w:pPr>
              <w:pStyle w:val="Compact"/>
              <w:keepNext/>
              <w:jc w:val="right"/>
            </w:pPr>
            <w:r>
              <w:rPr>
                <w:sz w:val="17"/>
              </w:rPr>
              <w:t xml:space="preserve">54.55</w:t>
            </w:r>
          </w:p>
        </w:tc>
        <w:tc>
          <w:tcPr/>
          <w:p>
            <w:pPr>
              <w:pStyle w:val="Compact"/>
              <w:keepNext/>
              <w:jc w:val="right"/>
            </w:pPr>
            <w:r>
              <w:rPr>
                <w:sz w:val="17"/>
              </w:rPr>
              <w:t xml:space="preserve">0.02439</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r>
      <w:tr>
        <w:trPr>
          <w:cantSplit/>
        </w:trPr>
        <w:tc>
          <w:tcPr/>
          <w:p>
            <w:pPr>
              <w:pStyle w:val="Compact"/>
              <w:keepNext/>
            </w:pPr>
            <w:r>
              <w:rPr>
                <w:sz w:val="17"/>
              </w:rPr>
              <w:t xml:space="preserve">nurse</w:t>
            </w:r>
          </w:p>
        </w:tc>
        <w:tc>
          <w:tcPr/>
          <w:p>
            <w:pPr>
              <w:pStyle w:val="Compact"/>
              <w:keepNext/>
              <w:jc w:val="right"/>
            </w:pPr>
            <w:r>
              <w:rPr>
                <w:sz w:val="17"/>
              </w:rPr>
              <w:t xml:space="preserve">12</w:t>
            </w:r>
          </w:p>
        </w:tc>
        <w:tc>
          <w:tcPr/>
          <w:p>
            <w:pPr>
              <w:pStyle w:val="Compact"/>
              <w:keepNext/>
              <w:jc w:val="right"/>
            </w:pPr>
            <w:r>
              <w:rPr>
                <w:sz w:val="17"/>
              </w:rPr>
              <w:t xml:space="preserve">12</w:t>
            </w:r>
          </w:p>
        </w:tc>
        <w:tc>
          <w:tcPr/>
          <w:p>
            <w:pPr>
              <w:pStyle w:val="Compact"/>
              <w:keepNext/>
              <w:jc w:val="right"/>
            </w:pPr>
            <w:r>
              <w:rPr>
                <w:sz w:val="17"/>
              </w:rPr>
              <w:t xml:space="preserve">163.42</w:t>
            </w:r>
          </w:p>
        </w:tc>
        <w:tc>
          <w:tcPr/>
          <w:p>
            <w:pPr>
              <w:pStyle w:val="Compact"/>
              <w:keepNext/>
              <w:jc w:val="right"/>
            </w:pPr>
            <w:r>
              <w:rPr>
                <w:sz w:val="17"/>
              </w:rPr>
              <w:t xml:space="preserve">0.07692</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r>
      <w:tr>
        <w:trPr>
          <w:cantSplit/>
        </w:trPr>
        <w:tc>
          <w:tcPr/>
          <w:p>
            <w:pPr>
              <w:pStyle w:val="Compact"/>
              <w:keepNext/>
            </w:pPr>
            <w:r>
              <w:rPr>
                <w:sz w:val="17"/>
              </w:rPr>
              <w:t xml:space="preserve">device</w:t>
            </w:r>
          </w:p>
        </w:tc>
        <w:tc>
          <w:tcPr/>
          <w:p>
            <w:pPr>
              <w:pStyle w:val="Compact"/>
              <w:keepNext/>
              <w:jc w:val="right"/>
            </w:pPr>
            <w:r>
              <w:rPr>
                <w:sz w:val="17"/>
              </w:rPr>
              <w:t xml:space="preserve">11</w:t>
            </w:r>
          </w:p>
        </w:tc>
        <w:tc>
          <w:tcPr/>
          <w:p>
            <w:pPr>
              <w:pStyle w:val="Compact"/>
              <w:keepNext/>
              <w:jc w:val="right"/>
            </w:pPr>
            <w:r>
              <w:rPr>
                <w:sz w:val="17"/>
              </w:rPr>
              <w:t xml:space="preserve">11</w:t>
            </w:r>
          </w:p>
        </w:tc>
        <w:tc>
          <w:tcPr/>
          <w:p>
            <w:pPr>
              <w:pStyle w:val="Compact"/>
              <w:keepNext/>
              <w:jc w:val="right"/>
            </w:pPr>
            <w:r>
              <w:rPr>
                <w:sz w:val="17"/>
              </w:rPr>
              <w:t xml:space="preserve">198.46</w:t>
            </w:r>
          </w:p>
        </w:tc>
        <w:tc>
          <w:tcPr/>
          <w:p>
            <w:pPr>
              <w:pStyle w:val="Compact"/>
              <w:keepNext/>
              <w:jc w:val="right"/>
            </w:pPr>
            <w:r>
              <w:rPr>
                <w:sz w:val="17"/>
              </w:rPr>
              <w:t xml:space="preserve">0.08333</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r>
      <w:tr>
        <w:trPr>
          <w:cantSplit/>
        </w:trPr>
        <w:tc>
          <w:tcPr/>
          <w:p>
            <w:pPr>
              <w:pStyle w:val="Compact"/>
            </w:pPr>
            <w:r>
              <w:rPr>
                <w:sz w:val="17"/>
              </w:rPr>
              <w:t xml:space="preserve">strat_fold†</w:t>
            </w:r>
          </w:p>
        </w:tc>
        <w:tc>
          <w:tcPr/>
          <w:p>
            <w:pPr>
              <w:pStyle w:val="Compact"/>
              <w:jc w:val="right"/>
            </w:pPr>
            <w:r>
              <w:rPr>
                <w:sz w:val="17"/>
              </w:rPr>
              <w:t xml:space="preserve">10</w:t>
            </w:r>
          </w:p>
        </w:tc>
        <w:tc>
          <w:tcPr/>
          <w:p>
            <w:pPr>
              <w:pStyle w:val="Compact"/>
              <w:jc w:val="right"/>
            </w:pPr>
            <w:r>
              <w:rPr>
                <w:sz w:val="17"/>
              </w:rPr>
              <w:t xml:space="preserve">8</w:t>
            </w:r>
          </w:p>
        </w:tc>
        <w:tc>
          <w:tcPr/>
          <w:p>
            <w:pPr>
              <w:pStyle w:val="Compact"/>
              <w:jc w:val="right"/>
            </w:pPr>
            <w:r>
              <w:rPr>
                <w:sz w:val="17"/>
              </w:rPr>
              <w:t xml:space="preserve">2,179.90</w:t>
            </w:r>
          </w:p>
        </w:tc>
        <w:tc>
          <w:tcPr/>
          <w:p>
            <w:pPr>
              <w:pStyle w:val="Compact"/>
              <w:jc w:val="right"/>
            </w:pPr>
            <w:r>
              <w:rPr>
                <w:sz w:val="17"/>
              </w:rPr>
              <w:t xml:space="preserve">0.11111</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r>
    </w:tbl>
    <w:p>
      <w:pPr>
        <w:pStyle w:val="BodyText"/>
      </w:pPr>
      <w:r>
        <w:t xml:space="preserve">† Applicable only if calibration draws on folds 1–8.</w:t>
      </w:r>
    </w:p>
    <w:p>
      <w:pPr>
        <w:pStyle w:val="BodyText"/>
        <w:jc w:val="both"/>
      </w:pPr>
      <w:r>
        <w:t xml:space="preserve">The site row calls for caution. Of the 40 sites present in fold 9, 37 appear only</w:t>
      </w:r>
      <w:r>
        <w:t xml:space="preserve"> </w:t>
      </w:r>
      <w:r>
        <w:t xml:space="preserve">among the 223 records with an empty</w:t>
      </w:r>
      <w:r>
        <w:t xml:space="preserve"> </w:t>
      </w:r>
      <w:r>
        <w:rPr>
          <w:rStyle w:val="VerbatimChar"/>
        </w:rPr>
        <w:t xml:space="preserve">nurse</w:t>
      </w:r>
      <w:r>
        <w:t xml:space="preserve"> </w:t>
      </w:r>
      <w:r>
        <w:t xml:space="preserve">field, whereas the 1,960 fully</w:t>
      </w:r>
      <w:r>
        <w:t xml:space="preserve"> </w:t>
      </w:r>
      <w:r>
        <w:t xml:space="preserve">annotated records come from just 3 sites. Site-level blocking is admissible, then,</w:t>
      </w:r>
      <w:r>
        <w:t xml:space="preserve"> </w:t>
      </w:r>
      <w:r>
        <w:t xml:space="preserve">only thanks to a minority of incompletely annotated records that seem to stem</w:t>
      </w:r>
      <w:r>
        <w:t xml:space="preserve"> </w:t>
      </w:r>
      <w:r>
        <w:t xml:space="preserve">from a different collection regime. Fig. 3 locates these groupings, the joins</w:t>
      </w:r>
      <w:r>
        <w:t xml:space="preserve"> </w:t>
      </w:r>
      <w:r>
        <w:t xml:space="preserve">considered next and the MIT-BIH record partition on the feasibility frontier, so</w:t>
      </w:r>
      <w:r>
        <w:t xml:space="preserve"> </w:t>
      </w:r>
      <w:r>
        <w:t xml:space="preserve">that each can be compared with the dotted line of a given</w:t>
      </w:r>
      <w:r>
        <w:t xml:space="preserve"> </w:t>
      </w:r>
      <m:oMath>
        <m:r>
          <m:t>α</m:t>
        </m:r>
      </m:oMath>
      <w:r>
        <w:t xml:space="preserve">.</w:t>
      </w:r>
    </w:p>
    <w:p>
      <w:pPr>
        <w:pStyle w:val="CaptionedFigure"/>
        <w:jc w:val="both"/>
      </w:pPr>
      <w:r>
        <w:drawing>
          <wp:inline>
            <wp:extent cx="3108960" cy="2176272"/>
            <wp:effectExtent b="0" l="0" r="0" t="0"/>
            <wp:docPr descr="Fig. 3. Feasibility frontier \alpha_{\min}=1/(K_1+1). Each marker is a calibration grouping on PTB-XL fold 9 (circles: single dependence source; squares: join of sources) or the MIT-BIH record partition (diamond). Values in parentheses are K_1. A grouping supports a guarantee at level \alpha only if its marker lies below the corresponding dotted line." title="" id="31" name="Picture"/>
            <a:graphic>
              <a:graphicData uri="http://schemas.openxmlformats.org/drawingml/2006/picture">
                <pic:pic>
                  <pic:nvPicPr>
                    <pic:cNvPr descr="figures/fig3_feasibility_frontier.png" id="32" name="Picture"/>
                    <pic:cNvPicPr>
                      <a:picLocks noChangeArrowheads="1" noChangeAspect="1"/>
                    </pic:cNvPicPr>
                  </pic:nvPicPr>
                  <pic:blipFill>
                    <a:blip r:embed="rId30"/>
                    <a:stretch>
                      <a:fillRect/>
                    </a:stretch>
                  </pic:blipFill>
                  <pic:spPr bwMode="auto">
                    <a:xfrm>
                      <a:off x="0" y="0"/>
                      <a:ext cx="3108960" cy="2176272"/>
                    </a:xfrm>
                    <a:prstGeom prst="rect">
                      <a:avLst/>
                    </a:prstGeom>
                    <a:noFill/>
                    <a:ln w="9525">
                      <a:noFill/>
                      <a:headEnd/>
                      <a:tailEnd/>
                    </a:ln>
                  </pic:spPr>
                </pic:pic>
              </a:graphicData>
            </a:graphic>
          </wp:inline>
        </w:drawing>
      </w:r>
    </w:p>
    <w:p>
      <w:pPr>
        <w:pStyle w:val="ImageCaption"/>
        <w:jc w:val="both"/>
      </w:pPr>
      <w:r>
        <w:t xml:space="preserve">Fig. 3. Feasibility frontier</w:t>
      </w:r>
      <w:r>
        <w:t xml:space="preserve"> </w:t>
      </w:r>
      <m:oMath>
        <m:sSub>
          <m:e>
            <m:r>
              <m:t>α</m:t>
            </m:r>
          </m:e>
          <m:sub>
            <m:r>
              <m:rPr>
                <m:sty m:val="p"/>
              </m:rPr>
              <m:t>min</m:t>
            </m:r>
          </m:sub>
        </m:sSub>
        <m:r>
          <m:rPr>
            <m:sty m:val="p"/>
          </m:rPr>
          <m:t>=</m:t>
        </m:r>
        <m:r>
          <m:t>1</m:t>
        </m:r>
        <m:r>
          <m:rPr>
            <m:sty m:val="p"/>
          </m:rPr>
          <m:t>/</m:t>
        </m:r>
        <m:r>
          <m:rPr>
            <m:sty m:val="p"/>
          </m:rPr>
          <m:t>(</m:t>
        </m:r>
        <m:sSub>
          <m:e>
            <m:r>
              <m:t>K</m:t>
            </m:r>
          </m:e>
          <m:sub>
            <m:r>
              <m:t>1</m:t>
            </m:r>
          </m:sub>
        </m:sSub>
        <m:r>
          <m:rPr>
            <m:sty m:val="p"/>
          </m:rPr>
          <m:t>+</m:t>
        </m:r>
        <m:r>
          <m:t>1</m:t>
        </m:r>
        <m:r>
          <m:rPr>
            <m:sty m:val="p"/>
          </m:rPr>
          <m:t>)</m:t>
        </m:r>
      </m:oMath>
      <w:r>
        <w:t xml:space="preserve">. Each marker is a calibration grouping on PTB-XL fold 9 (circles: single dependence source; squares: join of sources) or the MIT-BIH record partition (diamond). Values in parentheses are</w:t>
      </w:r>
      <w:r>
        <w:t xml:space="preserve"> </w:t>
      </w:r>
      <m:oMath>
        <m:sSub>
          <m:e>
            <m:r>
              <m:t>K</m:t>
            </m:r>
          </m:e>
          <m:sub>
            <m:r>
              <m:t>1</m:t>
            </m:r>
          </m:sub>
        </m:sSub>
      </m:oMath>
      <w:r>
        <w:t xml:space="preserve">. A grouping supports a guarantee at level</w:t>
      </w:r>
      <w:r>
        <w:t xml:space="preserve"> </w:t>
      </w:r>
      <m:oMath>
        <m:r>
          <m:t>α</m:t>
        </m:r>
      </m:oMath>
      <w:r>
        <w:t xml:space="preserve"> </w:t>
      </w:r>
      <w:r>
        <w:t xml:space="preserve">only if its marker lies below the corresponding dotted line.</w:t>
      </w:r>
    </w:p>
    <w:p>
      <w:pPr>
        <w:pStyle w:val="BodyText"/>
        <w:jc w:val="both"/>
      </w:pPr>
      <w:r>
        <w:rPr>
          <w:b/>
          <w:bCs/>
        </w:rPr>
        <w:t xml:space="preserve">Crossed sources.</w:t>
      </w:r>
      <w:r>
        <w:t xml:space="preserve"> </w:t>
      </w:r>
      <w:r>
        <w:t xml:space="preserve">On PTB-XL the sources cross one another: 46 patients appear</w:t>
      </w:r>
      <w:r>
        <w:t xml:space="preserve"> </w:t>
      </w:r>
      <w:r>
        <w:t xml:space="preserve">at more than one site, 247 with more than one nurse and 174 on more than one</w:t>
      </w:r>
      <w:r>
        <w:t xml:space="preserve"> </w:t>
      </w:r>
      <w:r>
        <w:t xml:space="preserve">device. Respecting several sources at once therefore means calibrating on their</w:t>
      </w:r>
      <w:r>
        <w:t xml:space="preserve"> </w:t>
      </w:r>
      <w:r>
        <w:t xml:space="preserve">join, which coarsens rapidly. Across all 2,183 records, patient and device</w:t>
      </w:r>
      <w:r>
        <w:t xml:space="preserve"> </w:t>
      </w:r>
      <w:r>
        <w:t xml:space="preserve">together leave</w:t>
      </w:r>
      <w:r>
        <w:t xml:space="preserve"> </w:t>
      </w:r>
      <m:oMath>
        <m:sSub>
          <m:e>
            <m:r>
              <m:t>K</m:t>
            </m:r>
          </m:e>
          <m:sub>
            <m:r>
              <m:t>1</m:t>
            </m:r>
          </m:sub>
        </m:sSub>
        <m:r>
          <m:rPr>
            <m:sty m:val="p"/>
          </m:rPr>
          <m:t>=</m:t>
        </m:r>
        <m:r>
          <m:t>5</m:t>
        </m:r>
      </m:oMath>
      <w:r>
        <w:t xml:space="preserve"> </w:t>
      </w:r>
      <w:r>
        <w:t xml:space="preserve">(</w:t>
      </w:r>
      <m:oMath>
        <m:sSub>
          <m:e>
            <m:r>
              <m:t>α</m:t>
            </m:r>
          </m:e>
          <m:sub>
            <m:r>
              <m:rPr>
                <m:sty m:val="p"/>
              </m:rPr>
              <m:t>min</m:t>
            </m:r>
          </m:sub>
        </m:sSub>
        <m:r>
          <m:rPr>
            <m:sty m:val="p"/>
          </m:rPr>
          <m:t>=</m:t>
        </m:r>
        <m:r>
          <m:t>0.167</m:t>
        </m:r>
      </m:oMath>
      <w:r>
        <w:t xml:space="preserve">), and all four sources together</w:t>
      </w:r>
      <w:r>
        <w:t xml:space="preserve"> </w:t>
      </w:r>
      <w:r>
        <w:t xml:space="preserve">leave one block (</w:t>
      </w:r>
      <m:oMath>
        <m:sSub>
          <m:e>
            <m:r>
              <m:t>α</m:t>
            </m:r>
          </m:e>
          <m:sub>
            <m:r>
              <m:rPr>
                <m:sty m:val="p"/>
              </m:rPr>
              <m:t>min</m:t>
            </m:r>
          </m:sub>
        </m:sSub>
        <m:r>
          <m:rPr>
            <m:sty m:val="p"/>
          </m:rPr>
          <m:t>=</m:t>
        </m:r>
        <m:r>
          <m:t>0.5</m:t>
        </m:r>
      </m:oMath>
      <w:r>
        <w:t xml:space="preserve">). Restricting attention to the 1,960 records</w:t>
      </w:r>
      <w:r>
        <w:t xml:space="preserve"> </w:t>
      </w:r>
      <w:r>
        <w:t xml:space="preserve">with complete metadata, we enumerated all 15 joins of the four declared sources;</w:t>
      </w:r>
      <w:r>
        <w:t xml:space="preserve"> </w:t>
      </w:r>
      <w:r>
        <w:t xml:space="preserve">8 meet the sufficiency condition, and each of those 8 has</w:t>
      </w:r>
      <w:r>
        <w:t xml:space="preserve"> </w:t>
      </w:r>
      <m:oMath>
        <m:sSub>
          <m:e>
            <m:r>
              <m:t>K</m:t>
            </m:r>
          </m:e>
          <m:sub>
            <m:r>
              <m:t>1</m:t>
            </m:r>
          </m:sub>
        </m:sSub>
        <m:r>
          <m:rPr>
            <m:sty m:val="p"/>
          </m:rPr>
          <m:t>=</m:t>
        </m:r>
        <m:r>
          <m:t>1</m:t>
        </m:r>
      </m:oMath>
      <w:r>
        <w:t xml:space="preserve">.</w:t>
      </w:r>
      <w:r>
        <w:t xml:space="preserve"> </w:t>
      </w:r>
      <w:r>
        <w:rPr>
          <w:i/>
          <w:iCs/>
        </w:rPr>
        <w:t xml:space="preserve">If patient,</w:t>
      </w:r>
      <w:r>
        <w:rPr>
          <w:i/>
          <w:iCs/>
        </w:rPr>
        <w:t xml:space="preserve"> </w:t>
      </w:r>
      <w:r>
        <w:rPr>
          <w:i/>
          <w:iCs/>
        </w:rPr>
        <w:t xml:space="preserve">site, nurse, and device are all treated as dependence sources, no admissible</w:t>
      </w:r>
      <w:r>
        <w:rPr>
          <w:i/>
          <w:iCs/>
        </w:rPr>
        <w:t xml:space="preserve"> </w:t>
      </w:r>
      <w:r>
        <w:rPr>
          <w:i/>
          <w:iCs/>
        </w:rPr>
        <w:t xml:space="preserve">calibration grouping exists at any conventional</w:t>
      </w:r>
      <w:r>
        <w:rPr>
          <w:i/>
          <w:iCs/>
        </w:rPr>
        <w:t xml:space="preserve"> </w:t>
      </w:r>
      <m:oMath>
        <m:r>
          <m:t>α</m:t>
        </m:r>
      </m:oMath>
      <w:r>
        <w:rPr>
          <w:i/>
          <w:iCs/>
        </w:rPr>
        <w:t xml:space="preserve">.</w:t>
      </w:r>
      <w:r>
        <w:t xml:space="preserve"> </w:t>
      </w:r>
      <w:r>
        <w:t xml:space="preserve">The statement is</w:t>
      </w:r>
      <w:r>
        <w:t xml:space="preserve"> </w:t>
      </w:r>
      <w:r>
        <w:t xml:space="preserve">conditional on that declaration, which the data cannot verify (§6.4), and the</w:t>
      </w:r>
      <w:r>
        <w:t xml:space="preserve"> </w:t>
      </w:r>
      <w:r>
        <w:t xml:space="preserve">tendency of joined partitions to merge into a giant component is already known</w:t>
      </w:r>
      <w:r>
        <w:t xml:space="preserve"> </w:t>
      </w:r>
      <w:r>
        <w:t xml:space="preserve">[41].</w:t>
      </w:r>
    </w:p>
    <w:p>
      <w:pPr>
        <w:pStyle w:val="BodyText"/>
        <w:jc w:val="both"/>
      </w:pPr>
      <w:r>
        <w:rPr>
          <w:b/>
          <w:bCs/>
        </w:rPr>
        <w:t xml:space="preserve">Labels.</w:t>
      </w:r>
      <w:r>
        <w:t xml:space="preserve"> </w:t>
      </w:r>
      <w:r>
        <w:t xml:space="preserve">Under label-conditional coverage, Proposition 3 is applied to each</w:t>
      </w:r>
      <w:r>
        <w:t xml:space="preserve"> </w:t>
      </w:r>
      <w:r>
        <w:t xml:space="preserve">label separately, and the feasible region contracts as the hierarchy becomes</w:t>
      </w:r>
      <w:r>
        <w:t xml:space="preserve"> </w:t>
      </w:r>
      <w:r>
        <w:t xml:space="preserve">finer. All superclasses pass, yet 24 of the 44 SCP codes fail at</w:t>
      </w:r>
      <w:r>
        <w:t xml:space="preserve"> </w:t>
      </w:r>
      <m:oMath>
        <m:r>
          <m:t>α</m:t>
        </m:r>
        <m:r>
          <m:rPr>
            <m:sty m:val="p"/>
          </m:rPr>
          <m:t>=</m:t>
        </m:r>
        <m:r>
          <m:t>0.05</m:t>
        </m:r>
      </m:oMath>
      <w:r>
        <w:t xml:space="preserve">,</w:t>
      </w:r>
      <w:r>
        <w:t xml:space="preserve"> </w:t>
      </w:r>
      <w:r>
        <w:rPr>
          <w:rStyle w:val="VerbatimChar"/>
        </w:rPr>
        <w:t xml:space="preserve">2AVB</w:t>
      </w:r>
      <w:r>
        <w:t xml:space="preserve"> </w:t>
      </w:r>
      <w:r>
        <w:t xml:space="preserve">occupies a single calibration block, and requiring a Bonferroni</w:t>
      </w:r>
      <w:r>
        <w:t xml:space="preserve"> </w:t>
      </w:r>
      <w:r>
        <w:t xml:space="preserve">correction across labels makes 43 of 44 codes infeasible at a family-wise</w:t>
      </w:r>
      <w:r>
        <w:t xml:space="preserve"> </w:t>
      </w:r>
      <m:oMath>
        <m:r>
          <m:t>α</m:t>
        </m:r>
        <m:r>
          <m:rPr>
            <m:sty m:val="p"/>
          </m:rPr>
          <m:t>=</m:t>
        </m:r>
        <m:r>
          <m:t>0.05</m:t>
        </m:r>
      </m:oMath>
      <w:r>
        <w:t xml:space="preserve">. Table IV tallies the failing labels at each level of the</w:t>
      </w:r>
      <w:r>
        <w:t xml:space="preserve"> </w:t>
      </w:r>
      <w:r>
        <w:t xml:space="preserve">hierarchy.</w:t>
      </w:r>
    </w:p>
    <w:p>
      <w:pPr>
        <w:pStyle w:val="BodyText"/>
        <w:keepNext/>
        <w:spacing w:before="160"/>
        <w:jc w:val="center"/>
      </w:pPr>
      <w:r/>
      <w:r>
        <w:rPr>
          <w:sz w:val="18"/>
        </w:rPr>
        <w:t>TABLE IV</w:t>
      </w:r>
      <w:r>
        <w:br/>
      </w:r>
      <w:r>
        <w:rPr>
          <w:sz w:val="16"/>
        </w:rPr>
        <w:t>LABELS FAILING THE NECESSARY CONDITION OF PROPOSITION 3, PTB-XL FOLD 9, PATIENT BLOCKS.</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880"/>
        <w:gridCol w:w="1173"/>
        <w:gridCol w:w="1173"/>
        <w:gridCol w:w="1173"/>
        <w:gridCol w:w="1173"/>
        <w:gridCol w:w="1173"/>
        <w:gridCol w:w="1173"/>
      </w:tblGrid>
      <w:tr>
        <w:trPr>
          <w:tblHeader w:val="on"/>
          <w:cantSplit/>
        </w:trPr>
        <w:tc>
          <w:tcPr/>
          <w:p>
            <w:pPr>
              <w:pStyle w:val="Compact"/>
              <w:keepNext/>
            </w:pPr>
            <w:r>
              <w:rPr>
                <w:b/>
                <w:sz w:val="17"/>
              </w:rPr>
              <w:t xml:space="preserve">Level</w:t>
            </w:r>
          </w:p>
        </w:tc>
        <w:tc>
          <w:tcPr/>
          <w:p>
            <w:pPr>
              <w:pStyle w:val="Compact"/>
              <w:keepNext/>
              <w:jc w:val="right"/>
            </w:pPr>
            <w:r>
              <w:rPr>
                <w:b/>
                <w:sz w:val="17"/>
              </w:rPr>
              <w:t xml:space="preserve">Labels</w:t>
            </w:r>
            <w:r>
              <w:rPr>
                <w:b/>
                <w:sz w:val="17"/>
              </w:rPr>
              <w:t xml:space="preserve"> </w:t>
            </w:r>
            <m:oMath>
              <m:r>
                <m:t>m</m:t>
              </m:r>
            </m:oMath>
          </w:p>
        </w:tc>
        <w:tc>
          <w:tcPr/>
          <w:p>
            <w:pPr>
              <w:pStyle w:val="Compact"/>
              <w:keepNext/>
              <w:jc w:val="right"/>
            </w:pPr>
            <m:oMath>
              <m:sSub>
                <m:e>
                  <m:r>
                    <m:t>K</m:t>
                  </m:r>
                </m:e>
                <m:sub>
                  <m:r>
                    <m:t>1</m:t>
                  </m:r>
                </m:sub>
              </m:sSub>
              <m:r>
                <m:rPr>
                  <m:sty m:val="p"/>
                </m:rPr>
                <m:t>(</m:t>
              </m:r>
              <m:r>
                <m:t>ℓ</m:t>
              </m:r>
              <m:r>
                <m:rPr>
                  <m:sty m:val="p"/>
                </m:rPr>
                <m:t>)</m:t>
              </m:r>
            </m:oMath>
            <w:r>
              <w:rPr>
                <w:b/>
                <w:sz w:val="17"/>
              </w:rPr>
              <w:t xml:space="preserve"> </w:t>
            </w:r>
            <w:r>
              <w:rPr>
                <w:b/>
                <w:sz w:val="17"/>
              </w:rPr>
              <w:t xml:space="preserve">range</w:t>
            </w:r>
          </w:p>
        </w:tc>
        <w:tc>
          <w:tcPr/>
          <w:p>
            <w:pPr>
              <w:pStyle w:val="Compact"/>
              <w:keepNext/>
              <w:jc w:val="right"/>
            </w:pPr>
            <w:r>
              <w:rPr>
                <w:b/>
                <w:sz w:val="17"/>
              </w:rPr>
              <w:t xml:space="preserve">Fail at 0.01</w:t>
            </w:r>
          </w:p>
        </w:tc>
        <w:tc>
          <w:tcPr/>
          <w:p>
            <w:pPr>
              <w:pStyle w:val="Compact"/>
              <w:keepNext/>
              <w:jc w:val="right"/>
            </w:pPr>
            <w:r>
              <w:rPr>
                <w:b/>
                <w:sz w:val="17"/>
              </w:rPr>
              <w:t xml:space="preserve">Fail at 0.05</w:t>
            </w:r>
          </w:p>
        </w:tc>
        <w:tc>
          <w:tcPr/>
          <w:p>
            <w:pPr>
              <w:pStyle w:val="Compact"/>
              <w:keepNext/>
              <w:jc w:val="right"/>
            </w:pPr>
            <w:r>
              <w:rPr>
                <w:b/>
                <w:sz w:val="17"/>
              </w:rPr>
              <w:t xml:space="preserve">Fail at 0.10</w:t>
            </w:r>
          </w:p>
        </w:tc>
        <w:tc>
          <w:tcPr/>
          <w:p>
            <w:pPr>
              <w:pStyle w:val="Compact"/>
              <w:keepNext/>
              <w:jc w:val="right"/>
            </w:pPr>
            <w:r>
              <w:rPr>
                <w:b/>
                <w:sz w:val="17"/>
              </w:rPr>
              <w:t xml:space="preserve">Fail at 0.05 /</w:t>
            </w:r>
            <w:r>
              <w:rPr>
                <w:b/>
                <w:sz w:val="17"/>
              </w:rPr>
              <w:t xml:space="preserve"> </w:t>
            </w:r>
            <m:oMath>
              <m:r>
                <m:t>m</m:t>
              </m:r>
            </m:oMath>
          </w:p>
        </w:tc>
      </w:tr>
      <w:tr>
        <w:trPr>
          <w:cantSplit/>
        </w:trPr>
        <w:tc>
          <w:tcPr/>
          <w:p>
            <w:pPr>
              <w:pStyle w:val="Compact"/>
              <w:keepNext/>
            </w:pPr>
            <w:r>
              <w:rPr>
                <w:sz w:val="17"/>
              </w:rPr>
              <w:t xml:space="preserve">Superclass</w:t>
            </w:r>
          </w:p>
        </w:tc>
        <w:tc>
          <w:tcPr/>
          <w:p>
            <w:pPr>
              <w:pStyle w:val="Compact"/>
              <w:keepNext/>
              <w:jc w:val="right"/>
            </w:pPr>
            <w:r>
              <w:rPr>
                <w:sz w:val="17"/>
              </w:rPr>
              <w:t xml:space="preserve">5</w:t>
            </w:r>
          </w:p>
        </w:tc>
        <w:tc>
          <w:tcPr/>
          <w:p>
            <w:pPr>
              <w:pStyle w:val="Compact"/>
              <w:keepNext/>
              <w:jc w:val="right"/>
            </w:pPr>
            <w:r>
              <w:rPr>
                <w:sz w:val="17"/>
              </w:rPr>
              <w:t xml:space="preserve">242–905</w:t>
            </w:r>
          </w:p>
        </w:tc>
        <w:tc>
          <w:tcPr/>
          <w:p>
            <w:pPr>
              <w:pStyle w:val="Compact"/>
              <w:keepNext/>
              <w:jc w:val="right"/>
            </w:pPr>
            <w:r>
              <w:rPr>
                <w:sz w:val="17"/>
              </w:rPr>
              <w:t xml:space="preserve">0</w:t>
            </w:r>
          </w:p>
        </w:tc>
        <w:tc>
          <w:tcPr/>
          <w:p>
            <w:pPr>
              <w:pStyle w:val="Compact"/>
              <w:keepNext/>
              <w:jc w:val="right"/>
            </w:pPr>
            <w:r>
              <w:rPr>
                <w:sz w:val="17"/>
              </w:rPr>
              <w:t xml:space="preserve">0</w:t>
            </w:r>
          </w:p>
        </w:tc>
        <w:tc>
          <w:tcPr/>
          <w:p>
            <w:pPr>
              <w:pStyle w:val="Compact"/>
              <w:keepNext/>
              <w:jc w:val="right"/>
            </w:pPr>
            <w:r>
              <w:rPr>
                <w:sz w:val="17"/>
              </w:rPr>
              <w:t xml:space="preserve">0</w:t>
            </w:r>
          </w:p>
        </w:tc>
        <w:tc>
          <w:tcPr/>
          <w:p>
            <w:pPr>
              <w:pStyle w:val="Compact"/>
              <w:keepNext/>
              <w:jc w:val="right"/>
            </w:pPr>
            <w:r>
              <w:rPr>
                <w:sz w:val="17"/>
              </w:rPr>
              <w:t xml:space="preserve">0</w:t>
            </w:r>
          </w:p>
        </w:tc>
      </w:tr>
      <w:tr>
        <w:trPr>
          <w:cantSplit/>
        </w:trPr>
        <w:tc>
          <w:tcPr/>
          <w:p>
            <w:pPr>
              <w:pStyle w:val="Compact"/>
              <w:keepNext/>
            </w:pPr>
            <w:r>
              <w:rPr>
                <w:sz w:val="17"/>
              </w:rPr>
              <w:t xml:space="preserve">Subclass</w:t>
            </w:r>
          </w:p>
        </w:tc>
        <w:tc>
          <w:tcPr/>
          <w:p>
            <w:pPr>
              <w:pStyle w:val="Compact"/>
              <w:keepNext/>
              <w:jc w:val="right"/>
            </w:pPr>
            <w:r>
              <w:rPr>
                <w:sz w:val="17"/>
              </w:rPr>
              <w:t xml:space="preserve">23</w:t>
            </w:r>
          </w:p>
        </w:tc>
        <w:tc>
          <w:tcPr/>
          <w:p>
            <w:pPr>
              <w:pStyle w:val="Compact"/>
              <w:keepNext/>
              <w:jc w:val="right"/>
            </w:pPr>
            <w:r>
              <w:rPr>
                <w:sz w:val="17"/>
              </w:rPr>
              <w:t xml:space="preserve">2–905</w:t>
            </w:r>
          </w:p>
        </w:tc>
        <w:tc>
          <w:tcPr/>
          <w:p>
            <w:pPr>
              <w:pStyle w:val="Compact"/>
              <w:keepNext/>
              <w:jc w:val="right"/>
            </w:pPr>
            <w:r>
              <w:rPr>
                <w:sz w:val="17"/>
              </w:rPr>
              <w:t xml:space="preserve">15</w:t>
            </w:r>
          </w:p>
        </w:tc>
        <w:tc>
          <w:tcPr/>
          <w:p>
            <w:pPr>
              <w:pStyle w:val="Compact"/>
              <w:keepNext/>
              <w:jc w:val="right"/>
            </w:pPr>
            <w:r>
              <w:rPr>
                <w:sz w:val="17"/>
              </w:rPr>
              <w:t xml:space="preserve">6</w:t>
            </w:r>
          </w:p>
        </w:tc>
        <w:tc>
          <w:tcPr/>
          <w:p>
            <w:pPr>
              <w:pStyle w:val="Compact"/>
              <w:keepNext/>
              <w:jc w:val="right"/>
            </w:pPr>
            <w:r>
              <w:rPr>
                <w:sz w:val="17"/>
              </w:rPr>
              <w:t xml:space="preserve">4</w:t>
            </w:r>
          </w:p>
        </w:tc>
        <w:tc>
          <w:tcPr/>
          <w:p>
            <w:pPr>
              <w:pStyle w:val="Compact"/>
              <w:keepNext/>
              <w:jc w:val="right"/>
            </w:pPr>
            <w:r>
              <w:rPr>
                <w:sz w:val="17"/>
              </w:rPr>
              <w:t xml:space="preserve">22</w:t>
            </w:r>
          </w:p>
        </w:tc>
      </w:tr>
      <w:tr>
        <w:trPr>
          <w:cantSplit/>
        </w:trPr>
        <w:tc>
          <w:tcPr/>
          <w:p>
            <w:pPr>
              <w:pStyle w:val="Compact"/>
            </w:pPr>
            <w:r>
              <w:rPr>
                <w:sz w:val="17"/>
              </w:rPr>
              <w:t xml:space="preserve">SCP code</w:t>
            </w:r>
          </w:p>
        </w:tc>
        <w:tc>
          <w:tcPr/>
          <w:p>
            <w:pPr>
              <w:pStyle w:val="Compact"/>
              <w:jc w:val="right"/>
            </w:pPr>
            <w:r>
              <w:rPr>
                <w:sz w:val="17"/>
              </w:rPr>
              <w:t xml:space="preserve">44</w:t>
            </w:r>
          </w:p>
        </w:tc>
        <w:tc>
          <w:tcPr/>
          <w:p>
            <w:pPr>
              <w:pStyle w:val="Compact"/>
              <w:jc w:val="right"/>
            </w:pPr>
            <w:r>
              <w:rPr>
                <w:sz w:val="17"/>
              </w:rPr>
              <w:t xml:space="preserve">1–905</w:t>
            </w:r>
          </w:p>
        </w:tc>
        <w:tc>
          <w:tcPr/>
          <w:p>
            <w:pPr>
              <w:pStyle w:val="Compact"/>
              <w:jc w:val="right"/>
            </w:pPr>
            <w:r>
              <w:rPr>
                <w:sz w:val="17"/>
              </w:rPr>
              <w:t xml:space="preserve">36</w:t>
            </w:r>
          </w:p>
        </w:tc>
        <w:tc>
          <w:tcPr/>
          <w:p>
            <w:pPr>
              <w:pStyle w:val="Compact"/>
              <w:jc w:val="right"/>
            </w:pPr>
            <w:r>
              <w:rPr>
                <w:sz w:val="17"/>
              </w:rPr>
              <w:t xml:space="preserve">24</w:t>
            </w:r>
          </w:p>
        </w:tc>
        <w:tc>
          <w:tcPr/>
          <w:p>
            <w:pPr>
              <w:pStyle w:val="Compact"/>
              <w:jc w:val="right"/>
            </w:pPr>
            <w:r>
              <w:rPr>
                <w:sz w:val="17"/>
              </w:rPr>
              <w:t xml:space="preserve">12</w:t>
            </w:r>
          </w:p>
        </w:tc>
        <w:tc>
          <w:tcPr/>
          <w:p>
            <w:pPr>
              <w:pStyle w:val="Compact"/>
              <w:jc w:val="right"/>
            </w:pPr>
            <w:r>
              <w:rPr>
                <w:sz w:val="17"/>
              </w:rPr>
              <w:t xml:space="preserve">43</w:t>
            </w:r>
          </w:p>
        </w:tc>
      </w:tr>
    </w:tbl>
    <w:p>
      <w:pPr>
        <w:pStyle w:val="BodyText"/>
        <w:jc w:val="both"/>
      </w:pPr>
      <w:r>
        <w:t xml:space="preserve">The hierarchy behaved monotonically in all 23 parent–child pairs, and MIT-BIH</w:t>
      </w:r>
      <w:r>
        <w:t xml:space="preserve"> </w:t>
      </w:r>
      <w:r>
        <w:t xml:space="preserve">class Q is confined to</w:t>
      </w:r>
      <w:r>
        <w:t xml:space="preserve"> </w:t>
      </w:r>
      <m:oMath>
        <m:sSub>
          <m:e>
            <m:r>
              <m:t>K</m:t>
            </m:r>
          </m:e>
          <m:sub>
            <m:r>
              <m:t>1</m:t>
            </m:r>
          </m:sub>
        </m:sSub>
        <m:r>
          <m:rPr>
            <m:sty m:val="p"/>
          </m:rPr>
          <m:t>=</m:t>
        </m:r>
        <m:r>
          <m:t>2</m:t>
        </m:r>
      </m:oMath>
      <w:r>
        <w:t xml:space="preserve"> </w:t>
      </w:r>
      <w:r>
        <w:t xml:space="preserve">records (</w:t>
      </w:r>
      <m:oMath>
        <m:sSub>
          <m:e>
            <m:r>
              <m:t>α</m:t>
            </m:r>
          </m:e>
          <m:sub>
            <m:r>
              <m:rPr>
                <m:sty m:val="p"/>
              </m:rPr>
              <m:t>min</m:t>
            </m:r>
          </m:sub>
        </m:sSub>
        <m:r>
          <m:rPr>
            <m:sty m:val="p"/>
          </m:rPr>
          <m:t>=</m:t>
        </m:r>
        <m:r>
          <m:t>0.333</m:t>
        </m:r>
      </m:oMath>
      <w:r>
        <w:t xml:space="preserve">). Fig. 4 breaks the</w:t>
      </w:r>
      <w:r>
        <w:t xml:space="preserve"> </w:t>
      </w:r>
      <w:r>
        <w:t xml:space="preserve">counts of Table IV down label by label and marks the minimum number of blocks</w:t>
      </w:r>
      <w:r>
        <w:t xml:space="preserve"> </w:t>
      </w:r>
      <w:r>
        <w:t xml:space="preserve">required at</w:t>
      </w:r>
      <w:r>
        <w:t xml:space="preserve"> </w:t>
      </w:r>
      <m:oMath>
        <m:r>
          <m:t>α</m:t>
        </m:r>
        <m:r>
          <m:rPr>
            <m:sty m:val="p"/>
          </m:rPr>
          <m:t>=</m:t>
        </m:r>
        <m:r>
          <m:t>0.05</m:t>
        </m:r>
      </m:oMath>
      <w:r>
        <w:t xml:space="preserve"> </w:t>
      </w:r>
      <w:r>
        <w:t xml:space="preserve">and</w:t>
      </w:r>
      <w:r>
        <w:t xml:space="preserve"> </w:t>
      </w:r>
      <m:oMath>
        <m:r>
          <m:t>α</m:t>
        </m:r>
        <m:r>
          <m:rPr>
            <m:sty m:val="p"/>
          </m:rPr>
          <m:t>=</m:t>
        </m:r>
        <m:r>
          <m:t>0.10</m:t>
        </m:r>
      </m:oMath>
      <w:r>
        <w:t xml:space="preserve">.</w:t>
      </w:r>
    </w:p>
    <w:p>
      <w:pPr>
        <w:pStyle w:val="CaptionedFigure"/>
        <w:jc w:val="both"/>
      </w:pPr>
      <w:r>
        <w:drawing>
          <wp:inline>
            <wp:extent cx="5334000" cy="1604287"/>
            <wp:effectExtent b="0" l="0" r="0" t="0"/>
            <wp:docPr descr="Fig. 4. Calibration blocks carrying each label, by level of the PTB-XL hierarchy (fold 9, patient blocks; log scale). Dashed and dotted lines mark the minimum number of blocks for a finite per-label threshold at \alpha=0.05 and \alpha=0.10. Dark bars meet the \alpha=0.05 requirement, light bars only the \alpha=0.10 requirement, and orange bars neither." title="" id="34" name="Picture"/>
            <a:graphic>
              <a:graphicData uri="http://schemas.openxmlformats.org/drawingml/2006/picture">
                <pic:pic>
                  <pic:nvPicPr>
                    <pic:cNvPr descr="figures/fig4_label_feasibility.png" id="35" name="Picture"/>
                    <pic:cNvPicPr>
                      <a:picLocks noChangeArrowheads="1" noChangeAspect="1"/>
                    </pic:cNvPicPr>
                  </pic:nvPicPr>
                  <pic:blipFill>
                    <a:blip r:embed="rId33"/>
                    <a:stretch>
                      <a:fillRect/>
                    </a:stretch>
                  </pic:blipFill>
                  <pic:spPr bwMode="auto">
                    <a:xfrm>
                      <a:off x="0" y="0"/>
                      <a:ext cx="5334000" cy="1604287"/>
                    </a:xfrm>
                    <a:prstGeom prst="rect">
                      <a:avLst/>
                    </a:prstGeom>
                    <a:noFill/>
                    <a:ln w="9525">
                      <a:noFill/>
                      <a:headEnd/>
                      <a:tailEnd/>
                    </a:ln>
                  </pic:spPr>
                </pic:pic>
              </a:graphicData>
            </a:graphic>
          </wp:inline>
        </w:drawing>
      </w:r>
    </w:p>
    <w:p>
      <w:pPr>
        <w:pStyle w:val="ImageCaption"/>
        <w:jc w:val="both"/>
      </w:pPr>
      <w:r>
        <w:t xml:space="preserve">Fig. 4. Calibration blocks carrying each label, by level of the PTB-XL hierarchy (fold 9, patient blocks; log scale). Dashed and dotted lines mark the minimum number of blocks for a finite per-label threshold at</w:t>
      </w:r>
      <w:r>
        <w:t xml:space="preserve"> </w:t>
      </w:r>
      <m:oMath>
        <m:r>
          <m:t>α</m:t>
        </m:r>
        <m:r>
          <m:rPr>
            <m:sty m:val="p"/>
          </m:rPr>
          <m:t>=</m:t>
        </m:r>
        <m:r>
          <m:t>0.05</m:t>
        </m:r>
      </m:oMath>
      <w:r>
        <w:t xml:space="preserve"> </w:t>
      </w:r>
      <w:r>
        <w:t xml:space="preserve">and</w:t>
      </w:r>
      <w:r>
        <w:t xml:space="preserve"> </w:t>
      </w:r>
      <m:oMath>
        <m:r>
          <m:t>α</m:t>
        </m:r>
        <m:r>
          <m:rPr>
            <m:sty m:val="p"/>
          </m:rPr>
          <m:t>=</m:t>
        </m:r>
        <m:r>
          <m:t>0.10</m:t>
        </m:r>
      </m:oMath>
      <w:r>
        <w:t xml:space="preserve">. Dark bars meet the</w:t>
      </w:r>
      <w:r>
        <w:t xml:space="preserve"> </w:t>
      </w:r>
      <m:oMath>
        <m:r>
          <m:t>α</m:t>
        </m:r>
        <m:r>
          <m:rPr>
            <m:sty m:val="p"/>
          </m:rPr>
          <m:t>=</m:t>
        </m:r>
        <m:r>
          <m:t>0.05</m:t>
        </m:r>
      </m:oMath>
      <w:r>
        <w:t xml:space="preserve"> </w:t>
      </w:r>
      <w:r>
        <w:t xml:space="preserve">requirement, light bars only the</w:t>
      </w:r>
      <w:r>
        <w:t xml:space="preserve"> </w:t>
      </w:r>
      <m:oMath>
        <m:r>
          <m:t>α</m:t>
        </m:r>
        <m:r>
          <m:rPr>
            <m:sty m:val="p"/>
          </m:rPr>
          <m:t>=</m:t>
        </m:r>
        <m:r>
          <m:t>0.10</m:t>
        </m:r>
      </m:oMath>
      <w:r>
        <w:t xml:space="preserve"> </w:t>
      </w:r>
      <w:r>
        <w:t xml:space="preserve">requirement, and orange bars neither.</w:t>
      </w:r>
    </w:p>
    <w:bookmarkEnd w:id="36"/>
    <w:bookmarkStart w:id="40" w:name="coverage-under-block-dependence"/>
    <w:p>
      <w:pPr>
        <w:pStyle w:val="Heading2"/>
      </w:pPr>
      <w:r>
        <w:t xml:space="preserve">5.2 Coverage under block dependence</w:t>
      </w:r>
    </w:p>
    <w:p>
      <w:pPr>
        <w:pStyle w:val="FirstParagraph"/>
        <w:jc w:val="both"/>
      </w:pPr>
      <w:r>
        <w:t xml:space="preserve">Across 200 block-level splits (§4.2), mean B1 coverage on MIT-BIH lies 1.0–2.4</w:t>
      </w:r>
      <w:r>
        <w:t xml:space="preserve"> </w:t>
      </w:r>
      <w:r>
        <w:t xml:space="preserve">percentage points below</w:t>
      </w:r>
      <w:r>
        <w:t xml:space="preserve"> </w:t>
      </w:r>
      <m:oMath>
        <m:r>
          <m:t>1</m:t>
        </m:r>
        <m:r>
          <m:rPr>
            <m:sty m:val="p"/>
          </m:rPr>
          <m:t>−</m:t>
        </m:r>
        <m:r>
          <m:t>α</m:t>
        </m:r>
      </m:oMath>
      <w:r>
        <w:t xml:space="preserve"> </w:t>
      </w:r>
      <w:r>
        <w:t xml:space="preserve">at every level, while on PTB-XL it reaches or</w:t>
      </w:r>
      <w:r>
        <w:t xml:space="preserve"> </w:t>
      </w:r>
      <w:r>
        <w:t xml:space="preserve">exceeds the nominal value. Table V lists coverage and set size for both</w:t>
      </w:r>
      <w:r>
        <w:t xml:space="preserve"> </w:t>
      </w:r>
      <w:r>
        <w:t xml:space="preserve">methods with the primary backbones.</w:t>
      </w:r>
    </w:p>
    <w:p>
      <w:pPr>
        <w:pStyle w:val="BodyText"/>
        <w:keepNext/>
        <w:spacing w:before="160"/>
        <w:jc w:val="center"/>
      </w:pPr>
      <w:r/>
      <w:r>
        <w:rPr>
          <w:sz w:val="18"/>
        </w:rPr>
        <w:t>TABLE V</w:t>
      </w:r>
      <w:r>
        <w:br/>
      </w:r>
      <w:r>
        <w:rPr>
          <w:sz w:val="16"/>
        </w:rPr>
        <w:t>COVERAGE (MEAN OVER SPLITS, WITH 2.5–97.5% RANGE ACROSS SPLITS) AND MEAN SET SIZE.</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1080"/>
        <w:gridCol w:w="1440"/>
        <w:gridCol w:w="1080"/>
        <w:gridCol w:w="1440"/>
        <w:gridCol w:w="1440"/>
        <w:gridCol w:w="1440"/>
      </w:tblGrid>
      <w:tr>
        <w:trPr>
          <w:tblHeader w:val="on"/>
          <w:cantSplit/>
        </w:trPr>
        <w:tc>
          <w:tcPr/>
          <w:p>
            <w:pPr>
              <w:pStyle w:val="Compact"/>
              <w:keepNext/>
            </w:pPr>
            <w:r>
              <w:rPr>
                <w:b/>
                <w:sz w:val="17"/>
              </w:rPr>
              <w:t xml:space="preserve">Dataset</w:t>
            </w:r>
          </w:p>
        </w:tc>
        <w:tc>
          <w:tcPr/>
          <w:p>
            <w:pPr>
              <w:pStyle w:val="Compact"/>
              <w:keepNext/>
              <w:jc w:val="right"/>
            </w:pPr>
            <m:oMath>
              <m:r>
                <m:t>α</m:t>
              </m:r>
            </m:oMath>
          </w:p>
        </w:tc>
        <w:tc>
          <w:tcPr/>
          <w:p>
            <w:pPr>
              <w:pStyle w:val="Compact"/>
              <w:keepNext/>
            </w:pPr>
            <w:r>
              <w:rPr>
                <w:b/>
                <w:sz w:val="17"/>
              </w:rPr>
              <w:t xml:space="preserve">B1 coverage</w:t>
            </w:r>
          </w:p>
        </w:tc>
        <w:tc>
          <w:tcPr/>
          <w:p>
            <w:pPr>
              <w:pStyle w:val="Compact"/>
              <w:keepNext/>
              <w:jc w:val="right"/>
            </w:pPr>
            <w:r>
              <w:rPr>
                <w:b/>
                <w:sz w:val="17"/>
              </w:rPr>
              <w:t xml:space="preserve">B12 coverage</w:t>
            </w:r>
          </w:p>
        </w:tc>
        <w:tc>
          <w:tcPr/>
          <w:p>
            <w:pPr>
              <w:pStyle w:val="Compact"/>
              <w:keepNext/>
              <w:jc w:val="right"/>
            </w:pPr>
            <m:oMath>
              <m:r>
                <m:rPr>
                  <m:sty m:val="p"/>
                </m:rPr>
                <m:t>|</m:t>
              </m:r>
              <m:r>
                <m:t>C</m:t>
              </m:r>
              <m:r>
                <m:rPr>
                  <m:sty m:val="p"/>
                </m:rPr>
                <m:t>|</m:t>
              </m:r>
            </m:oMath>
            <w:r>
              <w:rPr>
                <w:b/>
                <w:sz w:val="17"/>
              </w:rPr>
              <w:t xml:space="preserve"> </w:t>
            </w:r>
            <w:r>
              <w:rPr>
                <w:b/>
                <w:sz w:val="17"/>
              </w:rPr>
              <w:t xml:space="preserve">B1</w:t>
            </w:r>
          </w:p>
        </w:tc>
        <w:tc>
          <w:tcPr/>
          <w:p>
            <w:pPr>
              <w:pStyle w:val="Compact"/>
              <w:keepNext/>
              <w:jc w:val="right"/>
            </w:pPr>
            <m:oMath>
              <m:r>
                <m:rPr>
                  <m:sty m:val="p"/>
                </m:rPr>
                <m:t>|</m:t>
              </m:r>
              <m:r>
                <m:t>C</m:t>
              </m:r>
              <m:r>
                <m:rPr>
                  <m:sty m:val="p"/>
                </m:rPr>
                <m:t>|</m:t>
              </m:r>
            </m:oMath>
            <w:r>
              <w:rPr>
                <w:b/>
                <w:sz w:val="17"/>
              </w:rPr>
              <w:t xml:space="preserve"> </w:t>
            </w:r>
            <w:r>
              <w:rPr>
                <w:b/>
                <w:sz w:val="17"/>
              </w:rPr>
              <w:t xml:space="preserve">B12</w:t>
            </w:r>
          </w:p>
        </w:tc>
      </w:tr>
      <w:tr>
        <w:trPr>
          <w:cantSplit/>
        </w:trPr>
        <w:tc>
          <w:tcPr/>
          <w:p>
            <w:pPr>
              <w:pStyle w:val="Compact"/>
            </w:pPr>
            <w:r>
              <w:rPr>
                <w:sz w:val="17"/>
              </w:rPr>
              <w:t xml:space="preserve">MIT-BIH</w:t>
            </w:r>
          </w:p>
        </w:tc>
        <w:tc>
          <w:tcPr/>
          <w:p>
            <w:pPr>
              <w:pStyle w:val="Compact"/>
              <w:jc w:val="right"/>
            </w:pPr>
            <w:r>
              <w:rPr>
                <w:sz w:val="17"/>
              </w:rPr>
              <w:t xml:space="preserve">0.01‡</w:t>
            </w:r>
          </w:p>
        </w:tc>
        <w:tc>
          <w:tcPr/>
          <w:p>
            <w:pPr>
              <w:pStyle w:val="Compact"/>
            </w:pPr>
            <w:r>
              <w:rPr>
                <w:sz w:val="17"/>
              </w:rPr>
              <w:t xml:space="preserve">0.9673 [0.9137, 0.9997]</w:t>
            </w:r>
          </w:p>
        </w:tc>
        <w:tc>
          <w:tcPr/>
          <w:p>
            <w:pPr>
              <w:pStyle w:val="Compact"/>
              <w:jc w:val="right"/>
            </w:pPr>
            <w:r>
              <w:rPr>
                <w:sz w:val="17"/>
              </w:rPr>
              <w:t xml:space="preserve">1.0000</w:t>
            </w:r>
          </w:p>
        </w:tc>
        <w:tc>
          <w:tcPr/>
          <w:p>
            <w:pPr>
              <w:pStyle w:val="Compact"/>
              <w:jc w:val="right"/>
            </w:pPr>
            <w:r>
              <w:rPr>
                <w:sz w:val="17"/>
              </w:rPr>
              <w:t xml:space="preserve">2.695</w:t>
            </w:r>
          </w:p>
        </w:tc>
        <w:tc>
          <w:tcPr/>
          <w:p>
            <w:pPr>
              <w:pStyle w:val="Compact"/>
              <w:jc w:val="right"/>
            </w:pPr>
            <w:r>
              <w:rPr>
                <w:sz w:val="17"/>
              </w:rPr>
              <w:t xml:space="preserve">5.000</w:t>
            </w:r>
          </w:p>
        </w:tc>
      </w:tr>
      <w:tr>
        <w:trPr>
          <w:cantSplit/>
        </w:trPr>
        <w:tc>
          <w:tcPr/>
          <w:p>
            <w:pPr>
              <w:pStyle w:val="Compact"/>
            </w:pPr>
          </w:p>
        </w:tc>
        <w:tc>
          <w:tcPr/>
          <w:p>
            <w:pPr>
              <w:pStyle w:val="Compact"/>
              <w:jc w:val="right"/>
            </w:pPr>
            <w:r>
              <w:rPr>
                <w:sz w:val="17"/>
              </w:rPr>
              <w:t xml:space="preserve">0.05‡</w:t>
            </w:r>
          </w:p>
        </w:tc>
        <w:tc>
          <w:tcPr/>
          <w:p>
            <w:pPr>
              <w:pStyle w:val="Compact"/>
            </w:pPr>
            <w:r>
              <w:rPr>
                <w:sz w:val="17"/>
              </w:rPr>
              <w:t xml:space="preserve">0.9398 [0.8045, 0.9974]</w:t>
            </w:r>
          </w:p>
        </w:tc>
        <w:tc>
          <w:tcPr/>
          <w:p>
            <w:pPr>
              <w:pStyle w:val="Compact"/>
              <w:jc w:val="right"/>
            </w:pPr>
            <w:r>
              <w:rPr>
                <w:sz w:val="17"/>
              </w:rPr>
              <w:t xml:space="preserve">1.0000</w:t>
            </w:r>
          </w:p>
        </w:tc>
        <w:tc>
          <w:tcPr/>
          <w:p>
            <w:pPr>
              <w:pStyle w:val="Compact"/>
              <w:jc w:val="right"/>
            </w:pPr>
            <w:r>
              <w:rPr>
                <w:sz w:val="17"/>
              </w:rPr>
              <w:t xml:space="preserve">1.690</w:t>
            </w:r>
          </w:p>
        </w:tc>
        <w:tc>
          <w:tcPr/>
          <w:p>
            <w:pPr>
              <w:pStyle w:val="Compact"/>
              <w:jc w:val="right"/>
            </w:pPr>
            <w:r>
              <w:rPr>
                <w:sz w:val="17"/>
              </w:rPr>
              <w:t xml:space="preserve">5.000</w:t>
            </w:r>
          </w:p>
        </w:tc>
      </w:tr>
      <w:tr>
        <w:trPr>
          <w:cantSplit/>
        </w:trPr>
        <w:tc>
          <w:tcPr/>
          <w:p>
            <w:pPr>
              <w:pStyle w:val="Compact"/>
            </w:pPr>
          </w:p>
        </w:tc>
        <w:tc>
          <w:tcPr/>
          <w:p>
            <w:pPr>
              <w:pStyle w:val="Compact"/>
              <w:jc w:val="right"/>
            </w:pPr>
            <w:r>
              <w:rPr>
                <w:sz w:val="17"/>
              </w:rPr>
              <w:t xml:space="preserve">0.10</w:t>
            </w:r>
          </w:p>
        </w:tc>
        <w:tc>
          <w:tcPr/>
          <w:p>
            <w:pPr>
              <w:pStyle w:val="Compact"/>
            </w:pPr>
            <w:r>
              <w:rPr>
                <w:sz w:val="17"/>
              </w:rPr>
              <w:t xml:space="preserve">0.8851 [0.6887, 0.9788]</w:t>
            </w:r>
          </w:p>
        </w:tc>
        <w:tc>
          <w:tcPr/>
          <w:p>
            <w:pPr>
              <w:pStyle w:val="Compact"/>
              <w:jc w:val="right"/>
            </w:pPr>
            <w:r>
              <w:rPr>
                <w:sz w:val="17"/>
              </w:rPr>
              <w:t xml:space="preserve">0.9615</w:t>
            </w:r>
          </w:p>
        </w:tc>
        <w:tc>
          <w:tcPr/>
          <w:p>
            <w:pPr>
              <w:pStyle w:val="Compact"/>
              <w:jc w:val="right"/>
            </w:pPr>
            <w:r>
              <w:rPr>
                <w:sz w:val="17"/>
              </w:rPr>
              <w:t xml:space="preserve">1.051</w:t>
            </w:r>
          </w:p>
        </w:tc>
        <w:tc>
          <w:tcPr/>
          <w:p>
            <w:pPr>
              <w:pStyle w:val="Compact"/>
              <w:jc w:val="right"/>
            </w:pPr>
            <w:r>
              <w:rPr>
                <w:sz w:val="17"/>
              </w:rPr>
              <w:t xml:space="preserve">2.434</w:t>
            </w:r>
          </w:p>
        </w:tc>
      </w:tr>
      <w:tr>
        <w:trPr>
          <w:cantSplit/>
        </w:trPr>
        <w:tc>
          <w:tcPr/>
          <w:p>
            <w:pPr>
              <w:pStyle w:val="Compact"/>
            </w:pPr>
          </w:p>
        </w:tc>
        <w:tc>
          <w:tcPr/>
          <w:p>
            <w:pPr>
              <w:pStyle w:val="Compact"/>
              <w:jc w:val="right"/>
            </w:pPr>
            <w:r>
              <w:rPr>
                <w:sz w:val="17"/>
              </w:rPr>
              <w:t xml:space="preserve">0.15</w:t>
            </w:r>
          </w:p>
        </w:tc>
        <w:tc>
          <w:tcPr/>
          <w:p>
            <w:pPr>
              <w:pStyle w:val="Compact"/>
            </w:pPr>
            <w:r>
              <w:rPr>
                <w:sz w:val="17"/>
              </w:rPr>
              <w:t xml:space="preserve">0.8279 [0.6151, 0.9602]</w:t>
            </w:r>
          </w:p>
        </w:tc>
        <w:tc>
          <w:tcPr/>
          <w:p>
            <w:pPr>
              <w:pStyle w:val="Compact"/>
              <w:jc w:val="right"/>
            </w:pPr>
            <w:r>
              <w:rPr>
                <w:sz w:val="17"/>
              </w:rPr>
              <w:t xml:space="preserve">0.9234</w:t>
            </w:r>
          </w:p>
        </w:tc>
        <w:tc>
          <w:tcPr/>
          <w:p>
            <w:pPr>
              <w:pStyle w:val="Compact"/>
              <w:jc w:val="right"/>
            </w:pPr>
            <w:r>
              <w:rPr>
                <w:sz w:val="17"/>
              </w:rPr>
              <w:t xml:space="preserve">0.924</w:t>
            </w:r>
          </w:p>
        </w:tc>
        <w:tc>
          <w:tcPr/>
          <w:p>
            <w:pPr>
              <w:pStyle w:val="Compact"/>
              <w:jc w:val="right"/>
            </w:pPr>
            <w:r>
              <w:rPr>
                <w:sz w:val="17"/>
              </w:rPr>
              <w:t xml:space="preserve">1.443</w:t>
            </w:r>
          </w:p>
        </w:tc>
      </w:tr>
      <w:tr>
        <w:trPr>
          <w:cantSplit/>
        </w:trPr>
        <w:tc>
          <w:tcPr/>
          <w:p>
            <w:pPr>
              <w:pStyle w:val="Compact"/>
            </w:pPr>
          </w:p>
        </w:tc>
        <w:tc>
          <w:tcPr/>
          <w:p>
            <w:pPr>
              <w:pStyle w:val="Compact"/>
              <w:jc w:val="right"/>
            </w:pPr>
            <w:r>
              <w:rPr>
                <w:sz w:val="17"/>
              </w:rPr>
              <w:t xml:space="preserve">0.20</w:t>
            </w:r>
          </w:p>
        </w:tc>
        <w:tc>
          <w:tcPr/>
          <w:p>
            <w:pPr>
              <w:pStyle w:val="Compact"/>
            </w:pPr>
            <w:r>
              <w:rPr>
                <w:sz w:val="17"/>
              </w:rPr>
              <w:t xml:space="preserve">0.7764 [0.5542, 0.9462]</w:t>
            </w:r>
          </w:p>
        </w:tc>
        <w:tc>
          <w:tcPr/>
          <w:p>
            <w:pPr>
              <w:pStyle w:val="Compact"/>
              <w:jc w:val="right"/>
            </w:pPr>
            <w:r>
              <w:rPr>
                <w:sz w:val="17"/>
              </w:rPr>
              <w:t xml:space="preserve">0.8642</w:t>
            </w:r>
          </w:p>
        </w:tc>
        <w:tc>
          <w:tcPr/>
          <w:p>
            <w:pPr>
              <w:pStyle w:val="Compact"/>
              <w:jc w:val="right"/>
            </w:pPr>
            <w:r>
              <w:rPr>
                <w:sz w:val="17"/>
              </w:rPr>
              <w:t xml:space="preserve">0.834</w:t>
            </w:r>
          </w:p>
        </w:tc>
        <w:tc>
          <w:tcPr/>
          <w:p>
            <w:pPr>
              <w:pStyle w:val="Compact"/>
              <w:jc w:val="right"/>
            </w:pPr>
            <w:r>
              <w:rPr>
                <w:sz w:val="17"/>
              </w:rPr>
              <w:t xml:space="preserve">1.001</w:t>
            </w:r>
          </w:p>
        </w:tc>
      </w:tr>
      <w:tr>
        <w:trPr>
          <w:cantSplit/>
        </w:trPr>
        <w:tc>
          <w:tcPr/>
          <w:p>
            <w:pPr>
              <w:pStyle w:val="Compact"/>
            </w:pPr>
            <w:r>
              <w:rPr>
                <w:sz w:val="17"/>
              </w:rPr>
              <w:t xml:space="preserve">PTB-XL</w:t>
            </w:r>
          </w:p>
        </w:tc>
        <w:tc>
          <w:tcPr/>
          <w:p>
            <w:pPr>
              <w:pStyle w:val="Compact"/>
              <w:jc w:val="right"/>
            </w:pPr>
            <w:r>
              <w:rPr>
                <w:sz w:val="17"/>
              </w:rPr>
              <w:t xml:space="preserve">0.01</w:t>
            </w:r>
          </w:p>
        </w:tc>
        <w:tc>
          <w:tcPr/>
          <w:p>
            <w:pPr>
              <w:pStyle w:val="Compact"/>
            </w:pPr>
            <w:r>
              <w:rPr>
                <w:sz w:val="17"/>
              </w:rPr>
              <w:t xml:space="preserve">0.9910 [0.9823, 0.9972]</w:t>
            </w:r>
          </w:p>
        </w:tc>
        <w:tc>
          <w:tcPr/>
          <w:p>
            <w:pPr>
              <w:pStyle w:val="Compact"/>
              <w:jc w:val="right"/>
            </w:pPr>
            <w:r>
              <w:rPr>
                <w:sz w:val="17"/>
              </w:rPr>
              <w:t xml:space="preserve">0.9912</w:t>
            </w:r>
          </w:p>
        </w:tc>
        <w:tc>
          <w:tcPr/>
          <w:p>
            <w:pPr>
              <w:pStyle w:val="Compact"/>
              <w:jc w:val="right"/>
            </w:pPr>
            <w:r>
              <w:rPr>
                <w:sz w:val="17"/>
              </w:rPr>
              <w:t xml:space="preserve">3.769</w:t>
            </w:r>
          </w:p>
        </w:tc>
        <w:tc>
          <w:tcPr/>
          <w:p>
            <w:pPr>
              <w:pStyle w:val="Compact"/>
              <w:jc w:val="right"/>
            </w:pPr>
            <w:r>
              <w:rPr>
                <w:sz w:val="17"/>
              </w:rPr>
              <w:t xml:space="preserve">3.788</w:t>
            </w:r>
          </w:p>
        </w:tc>
      </w:tr>
      <w:tr>
        <w:trPr>
          <w:cantSplit/>
        </w:trPr>
        <w:tc>
          <w:tcPr/>
          <w:p>
            <w:pPr>
              <w:pStyle w:val="Compact"/>
            </w:pPr>
          </w:p>
        </w:tc>
        <w:tc>
          <w:tcPr/>
          <w:p>
            <w:pPr>
              <w:pStyle w:val="Compact"/>
              <w:jc w:val="right"/>
            </w:pPr>
            <w:r>
              <w:rPr>
                <w:sz w:val="17"/>
              </w:rPr>
              <w:t xml:space="preserve">0.05</w:t>
            </w:r>
          </w:p>
        </w:tc>
        <w:tc>
          <w:tcPr/>
          <w:p>
            <w:pPr>
              <w:pStyle w:val="Compact"/>
            </w:pPr>
            <w:r>
              <w:rPr>
                <w:sz w:val="17"/>
              </w:rPr>
              <w:t xml:space="preserve">0.9511 [0.9318, 0.9673]</w:t>
            </w:r>
          </w:p>
        </w:tc>
        <w:tc>
          <w:tcPr/>
          <w:p>
            <w:pPr>
              <w:pStyle w:val="Compact"/>
              <w:jc w:val="right"/>
            </w:pPr>
            <w:r>
              <w:rPr>
                <w:sz w:val="17"/>
              </w:rPr>
              <w:t xml:space="preserve">0.9510</w:t>
            </w:r>
          </w:p>
        </w:tc>
        <w:tc>
          <w:tcPr/>
          <w:p>
            <w:pPr>
              <w:pStyle w:val="Compact"/>
              <w:jc w:val="right"/>
            </w:pPr>
            <w:r>
              <w:rPr>
                <w:sz w:val="17"/>
              </w:rPr>
              <w:t xml:space="preserve">2.741</w:t>
            </w:r>
          </w:p>
        </w:tc>
        <w:tc>
          <w:tcPr/>
          <w:p>
            <w:pPr>
              <w:pStyle w:val="Compact"/>
              <w:jc w:val="right"/>
            </w:pPr>
            <w:r>
              <w:rPr>
                <w:sz w:val="17"/>
              </w:rPr>
              <w:t xml:space="preserve">2.742</w:t>
            </w:r>
          </w:p>
        </w:tc>
      </w:tr>
      <w:tr>
        <w:trPr>
          <w:cantSplit/>
        </w:trPr>
        <w:tc>
          <w:tcPr/>
          <w:p>
            <w:pPr>
              <w:pStyle w:val="Compact"/>
            </w:pPr>
          </w:p>
        </w:tc>
        <w:tc>
          <w:tcPr/>
          <w:p>
            <w:pPr>
              <w:pStyle w:val="Compact"/>
              <w:jc w:val="right"/>
            </w:pPr>
            <w:r>
              <w:rPr>
                <w:sz w:val="17"/>
              </w:rPr>
              <w:t xml:space="preserve">0.10</w:t>
            </w:r>
          </w:p>
        </w:tc>
        <w:tc>
          <w:tcPr/>
          <w:p>
            <w:pPr>
              <w:pStyle w:val="Compact"/>
            </w:pPr>
            <w:r>
              <w:rPr>
                <w:sz w:val="17"/>
              </w:rPr>
              <w:t xml:space="preserve">0.9010 [0.8741, 0.9256]</w:t>
            </w:r>
          </w:p>
        </w:tc>
        <w:tc>
          <w:tcPr/>
          <w:p>
            <w:pPr>
              <w:pStyle w:val="Compact"/>
              <w:jc w:val="right"/>
            </w:pPr>
            <w:r>
              <w:rPr>
                <w:sz w:val="17"/>
              </w:rPr>
              <w:t xml:space="preserve">0.9002</w:t>
            </w:r>
          </w:p>
        </w:tc>
        <w:tc>
          <w:tcPr/>
          <w:p>
            <w:pPr>
              <w:pStyle w:val="Compact"/>
              <w:jc w:val="right"/>
            </w:pPr>
            <w:r>
              <w:rPr>
                <w:sz w:val="17"/>
              </w:rPr>
              <w:t xml:space="preserve">2.248</w:t>
            </w:r>
          </w:p>
        </w:tc>
        <w:tc>
          <w:tcPr/>
          <w:p>
            <w:pPr>
              <w:pStyle w:val="Compact"/>
              <w:jc w:val="right"/>
            </w:pPr>
            <w:r>
              <w:rPr>
                <w:sz w:val="17"/>
              </w:rPr>
              <w:t xml:space="preserve">2.240</w:t>
            </w:r>
          </w:p>
        </w:tc>
      </w:tr>
    </w:tbl>
    <w:p>
      <w:pPr>
        <w:pStyle w:val="BodyText"/>
      </w:pPr>
      <w:r>
        <w:t xml:space="preserve">‡ Below</w:t>
      </w:r>
      <w:r>
        <w:t xml:space="preserve"> </w:t>
      </w:r>
      <m:oMath>
        <m:sSub>
          <m:e>
            <m:r>
              <m:t>α</m:t>
            </m:r>
          </m:e>
          <m:sub>
            <m:r>
              <m:rPr>
                <m:sty m:val="p"/>
              </m:rPr>
              <m:t>min</m:t>
            </m:r>
          </m:sub>
        </m:sSub>
        <m:r>
          <m:rPr>
            <m:sty m:val="p"/>
          </m:rPr>
          <m:t>=</m:t>
        </m:r>
        <m:r>
          <m:t>1</m:t>
        </m:r>
        <m:r>
          <m:rPr>
            <m:sty m:val="p"/>
          </m:rPr>
          <m:t>/</m:t>
        </m:r>
        <m:r>
          <m:t>12</m:t>
        </m:r>
      </m:oMath>
      <w:r>
        <w:t xml:space="preserve">: HCP returns the full label set for every test beat.</w:t>
      </w:r>
    </w:p>
    <w:p>
      <w:pPr>
        <w:pStyle w:val="BodyText"/>
        <w:jc w:val="both"/>
      </w:pPr>
      <w:r>
        <w:t xml:space="preserve">Even so, on MIT-BIH the range across splits includes</w:t>
      </w:r>
      <w:r>
        <w:t xml:space="preserve"> </w:t>
      </w:r>
      <m:oMath>
        <m:r>
          <m:t>1</m:t>
        </m:r>
        <m:r>
          <m:rPr>
            <m:sty m:val="p"/>
          </m:rPr>
          <m:t>−</m:t>
        </m:r>
        <m:r>
          <m:t>α</m:t>
        </m:r>
      </m:oMath>
      <w:r>
        <w:t xml:space="preserve"> </w:t>
      </w:r>
      <w:r>
        <w:t xml:space="preserve">at every level:</w:t>
      </w:r>
      <w:r>
        <w:t xml:space="preserve"> </w:t>
      </w:r>
      <w:r>
        <w:t xml:space="preserve">with only 11 test records, no single split can expose a deficit of this</w:t>
      </w:r>
      <w:r>
        <w:t xml:space="preserve"> </w:t>
      </w:r>
      <w:r>
        <w:t xml:space="preserve">magnitude, and a comparison of means does not amount to a test. B12 coverage has</w:t>
      </w:r>
      <w:r>
        <w:t xml:space="preserve"> </w:t>
      </w:r>
      <w:r>
        <w:t xml:space="preserve">to be interpreted together with set size. At</w:t>
      </w:r>
      <w:r>
        <w:t xml:space="preserve"> </w:t>
      </w:r>
      <m:oMath>
        <m:r>
          <m:t>α</m:t>
        </m:r>
        <m:r>
          <m:rPr>
            <m:sty m:val="p"/>
          </m:rPr>
          <m:t>=</m:t>
        </m:r>
        <m:r>
          <m:t>0.10</m:t>
        </m:r>
      </m:oMath>
      <w:r>
        <w:t xml:space="preserve"> </w:t>
      </w:r>
      <w:r>
        <w:t xml:space="preserve">HCP attains 0.9615</w:t>
      </w:r>
      <w:r>
        <w:t xml:space="preserve"> </w:t>
      </w:r>
      <w:r>
        <w:t xml:space="preserve">using 2.43 of the 5 labels, against 1.05 for B1, and below</w:t>
      </w:r>
      <w:r>
        <w:t xml:space="preserve"> </w:t>
      </w:r>
      <m:oMath>
        <m:sSub>
          <m:e>
            <m:r>
              <m:t>α</m:t>
            </m:r>
          </m:e>
          <m:sub>
            <m:r>
              <m:rPr>
                <m:sty m:val="p"/>
              </m:rPr>
              <m:t>min</m:t>
            </m:r>
          </m:sub>
        </m:sSub>
      </m:oMath>
      <w:r>
        <w:t xml:space="preserve"> </w:t>
      </w:r>
      <w:r>
        <w:t xml:space="preserve">its</w:t>
      </w:r>
      <w:r>
        <w:t xml:space="preserve"> </w:t>
      </w:r>
      <w:r>
        <w:t xml:space="preserve">perfect coverage is simply abstention. Fig. 5 displays both points at once,</w:t>
      </w:r>
      <w:r>
        <w:t xml:space="preserve"> </w:t>
      </w:r>
      <w:r>
        <w:t xml:space="preserve">plotting the coverage gap of each method relative to nominal and shading the</w:t>
      </w:r>
      <w:r>
        <w:t xml:space="preserve"> </w:t>
      </w:r>
      <w:r>
        <w:t xml:space="preserve">levels below</w:t>
      </w:r>
      <w:r>
        <w:t xml:space="preserve"> </w:t>
      </w:r>
      <m:oMath>
        <m:sSub>
          <m:e>
            <m:r>
              <m:t>α</m:t>
            </m:r>
          </m:e>
          <m:sub>
            <m:r>
              <m:rPr>
                <m:sty m:val="p"/>
              </m:rPr>
              <m:t>min</m:t>
            </m:r>
          </m:sub>
        </m:sSub>
      </m:oMath>
      <w:r>
        <w:t xml:space="preserve">.</w:t>
      </w:r>
    </w:p>
    <w:p>
      <w:pPr>
        <w:pStyle w:val="CaptionedFigure"/>
        <w:jc w:val="both"/>
      </w:pPr>
      <w:r>
        <w:drawing>
          <wp:inline>
            <wp:extent cx="5334000" cy="1679032"/>
            <wp:effectExtent b="0" l="0" r="0" t="0"/>
            <wp:docPr descr="Fig. 5. Coverage minus nominal 1-\alpha for split conformal (B1, mean with 2.5–97.5% range across 200 block-level splits) and HCP (B12, mean), primary backbone. Shaded MIT-BIH levels lie below \alpha_{\min}=1/12, where HCP returns every label. Note the different vertical scales." title="" id="38" name="Picture"/>
            <a:graphic>
              <a:graphicData uri="http://schemas.openxmlformats.org/drawingml/2006/picture">
                <pic:pic>
                  <pic:nvPicPr>
                    <pic:cNvPr descr="figures/fig5_coverage.png" id="39" name="Picture"/>
                    <pic:cNvPicPr>
                      <a:picLocks noChangeArrowheads="1" noChangeAspect="1"/>
                    </pic:cNvPicPr>
                  </pic:nvPicPr>
                  <pic:blipFill>
                    <a:blip r:embed="rId37"/>
                    <a:stretch>
                      <a:fillRect/>
                    </a:stretch>
                  </pic:blipFill>
                  <pic:spPr bwMode="auto">
                    <a:xfrm>
                      <a:off x="0" y="0"/>
                      <a:ext cx="5334000" cy="1679032"/>
                    </a:xfrm>
                    <a:prstGeom prst="rect">
                      <a:avLst/>
                    </a:prstGeom>
                    <a:noFill/>
                    <a:ln w="9525">
                      <a:noFill/>
                      <a:headEnd/>
                      <a:tailEnd/>
                    </a:ln>
                  </pic:spPr>
                </pic:pic>
              </a:graphicData>
            </a:graphic>
          </wp:inline>
        </w:drawing>
      </w:r>
    </w:p>
    <w:p>
      <w:pPr>
        <w:pStyle w:val="ImageCaption"/>
        <w:jc w:val="both"/>
      </w:pPr>
      <w:r>
        <w:t xml:space="preserve">Fig. 5. Coverage minus nominal</w:t>
      </w:r>
      <w:r>
        <w:t xml:space="preserve"> </w:t>
      </w:r>
      <m:oMath>
        <m:r>
          <m:t>1</m:t>
        </m:r>
        <m:r>
          <m:rPr>
            <m:sty m:val="p"/>
          </m:rPr>
          <m:t>−</m:t>
        </m:r>
        <m:r>
          <m:t>α</m:t>
        </m:r>
      </m:oMath>
      <w:r>
        <w:t xml:space="preserve"> </w:t>
      </w:r>
      <w:r>
        <w:t xml:space="preserve">for split conformal (B1, mean with 2.5–97.5% range across 200 block-level splits) and HCP (B12, mean), primary backbone. Shaded MIT-BIH levels lie below</w:t>
      </w:r>
      <w:r>
        <w:t xml:space="preserve"> </w:t>
      </w:r>
      <m:oMath>
        <m:sSub>
          <m:e>
            <m:r>
              <m:t>α</m:t>
            </m:r>
          </m:e>
          <m:sub>
            <m:r>
              <m:rPr>
                <m:sty m:val="p"/>
              </m:rPr>
              <m:t>min</m:t>
            </m:r>
          </m:sub>
        </m:sSub>
        <m:r>
          <m:rPr>
            <m:sty m:val="p"/>
          </m:rPr>
          <m:t>=</m:t>
        </m:r>
        <m:r>
          <m:t>1</m:t>
        </m:r>
        <m:r>
          <m:rPr>
            <m:sty m:val="p"/>
          </m:rPr>
          <m:t>/</m:t>
        </m:r>
        <m:r>
          <m:t>12</m:t>
        </m:r>
      </m:oMath>
      <w:r>
        <w:t xml:space="preserve">, where HCP returns every label. Note the different vertical scales.</w:t>
      </w:r>
    </w:p>
    <w:bookmarkEnd w:id="40"/>
    <w:bookmarkStart w:id="44" w:name="X971afb3920367740875daf59080031d77744c88"/>
    <w:p>
      <w:pPr>
        <w:pStyle w:val="Heading2"/>
      </w:pPr>
      <w:r>
        <w:t xml:space="preserve">5.3 The deficit is attributable to dependence</w:t>
      </w:r>
    </w:p>
    <w:p>
      <w:pPr>
        <w:pStyle w:val="FirstParagraph"/>
        <w:jc w:val="both"/>
      </w:pPr>
      <w:r>
        <w:rPr>
          <w:b/>
          <w:bCs/>
        </w:rPr>
        <w:t xml:space="preserve">Permutation null.</w:t>
      </w:r>
      <w:r>
        <w:t xml:space="preserve"> </w:t>
      </w:r>
      <w:r>
        <w:t xml:space="preserve">To check whether dependence is what makes B1 under-cover,</w:t>
      </w:r>
      <w:r>
        <w:t xml:space="preserve"> </w:t>
      </w:r>
      <w:r>
        <w:t xml:space="preserve">we compared it with a matched null obtained by permuting the assignment of beats</w:t>
      </w:r>
      <w:r>
        <w:t xml:space="preserve"> </w:t>
      </w:r>
      <w:r>
        <w:t xml:space="preserve">to records within DS2. This permutation keeps</w:t>
      </w:r>
      <w:r>
        <w:t xml:space="preserve"> </w:t>
      </w:r>
      <m:oMath>
        <m:sSub>
          <m:e>
            <m:r>
              <m:t>K</m:t>
            </m:r>
          </m:e>
          <m:sub>
            <m:r>
              <m:t>1</m:t>
            </m:r>
          </m:sub>
        </m:sSub>
        <m:r>
          <m:rPr>
            <m:sty m:val="p"/>
          </m:rPr>
          <m:t>=</m:t>
        </m:r>
        <m:r>
          <m:t>11</m:t>
        </m:r>
      </m:oMath>
      <w:r>
        <w:t xml:space="preserve">, the multiset of block</w:t>
      </w:r>
      <w:r>
        <w:t xml:space="preserve"> </w:t>
      </w:r>
      <w:r>
        <w:t xml:space="preserve">sizes and the marginal score distribution exactly as they were, while the score</w:t>
      </w:r>
      <w:r>
        <w:t xml:space="preserve"> </w:t>
      </w:r>
      <w:r>
        <w:t xml:space="preserve">ICC drops from 0.519 to 0.000. Table VI reports the B1 deficit relative to this</w:t>
      </w:r>
      <w:r>
        <w:t xml:space="preserve"> </w:t>
      </w:r>
      <w:r>
        <w:t xml:space="preserve">null at two levels of uncertainty. Over 200 paired splits of the 22 DS2 records</w:t>
      </w:r>
      <w:r>
        <w:t xml:space="preserve"> </w:t>
      </w:r>
      <w:r>
        <w:t xml:space="preserve">the deficit is positive in all nine backbone×</w:t>
      </w:r>
      <m:oMath>
        <m:r>
          <m:t>α</m:t>
        </m:r>
      </m:oMath>
      <w:r>
        <w:t xml:space="preserve"> </w:t>
      </w:r>
      <w:r>
        <w:t xml:space="preserve">cells, and for the primary</w:t>
      </w:r>
      <w:r>
        <w:t xml:space="preserve"> </w:t>
      </w:r>
      <w:r>
        <w:t xml:space="preserve">backbone its Monte Carlo interval excludes zero at all three levels; these</w:t>
      </w:r>
      <w:r>
        <w:t xml:space="preserve"> </w:t>
      </w:r>
      <w:r>
        <w:t xml:space="preserve">intervals, however, describe the split procedure on these records only (§4.4).</w:t>
      </w:r>
      <w:r>
        <w:t xml:space="preserve"> </w:t>
      </w:r>
      <w:r>
        <w:t xml:space="preserve">Treating records as the sampling unit, the leave-one-record-out jackknife gives</w:t>
      </w:r>
      <w:r>
        <w:t xml:space="preserve"> </w:t>
      </w:r>
      <w:r>
        <w:t xml:space="preserve">deficits of 0.60–1.83 pp with 95% intervals of half-width 3.7–5.7 pp, which</w:t>
      </w:r>
      <w:r>
        <w:t xml:space="preserve"> </w:t>
      </w:r>
      <w:r>
        <w:t xml:space="preserve">include zero in every cell (Holm-adjusted one-sided</w:t>
      </w:r>
      <w:r>
        <w:t xml:space="preserve"> </w:t>
      </w:r>
      <m:oMath>
        <m:r>
          <m:t>p</m:t>
        </m:r>
        <m:r>
          <m:rPr>
            <m:sty m:val="p"/>
          </m:rPr>
          <m:t>≥</m:t>
        </m:r>
        <m:r>
          <m:t>0.59</m:t>
        </m:r>
      </m:oMath>
      <w:r>
        <w:t xml:space="preserve">). On these 22</w:t>
      </w:r>
      <w:r>
        <w:t xml:space="preserve"> </w:t>
      </w:r>
      <w:r>
        <w:t xml:space="preserve">subjects B1 thus covers less than the permutation null in every configuration,</w:t>
      </w:r>
      <w:r>
        <w:t xml:space="preserve"> </w:t>
      </w:r>
      <w:r>
        <w:t xml:space="preserve">but 22 subjects are too few to establish the sign of the deficit for the</w:t>
      </w:r>
      <w:r>
        <w:t xml:space="preserve"> </w:t>
      </w:r>
      <w:r>
        <w:t xml:space="preserve">population they represent.</w:t>
      </w:r>
    </w:p>
    <w:p>
      <w:pPr>
        <w:pStyle w:val="BodyText"/>
        <w:keepNext/>
        <w:spacing w:before="160"/>
        <w:jc w:val="center"/>
      </w:pPr>
      <w:r/>
      <w:r>
        <w:rPr>
          <w:sz w:val="18"/>
        </w:rPr>
        <w:t>TABLE VI</w:t>
      </w:r>
      <w:r>
        <w:br/>
      </w:r>
      <w:r>
        <w:rPr>
          <w:sz w:val="16"/>
        </w:rPr>
        <w:t>MIT-BIH: B1 DEFICIT AGAINST THE PERMUTATION NULL, PP. MONTE CARLO INTERVAL: PERCENTILE BOOTSTRAP OVER 200 PAIRED SPLITS OF THE 22 DS2 RECORDS, CONDITIONAL ON THOSE RECORDS. RECORD LEVEL: LEAVE-ONE-RECORD-OUT JACKKNIFE (500 PAIRED SPLITS AND A NEW PERMUTATION PER REPLICATE), 95% T INTERVAL WITH 21 DF AND HOLM-ADJUSTED ONE-SIDED P.</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1250"/>
        <w:gridCol w:w="521"/>
        <w:gridCol w:w="521"/>
        <w:gridCol w:w="2292"/>
        <w:gridCol w:w="2501"/>
        <w:gridCol w:w="833"/>
      </w:tblGrid>
      <w:tr>
        <w:trPr>
          <w:tblHeader w:val="on"/>
          <w:cantSplit/>
        </w:trPr>
        <w:tc>
          <w:tcPr/>
          <w:p>
            <w:pPr>
              <w:pStyle w:val="Compact"/>
              <w:keepNext/>
            </w:pPr>
            <w:r>
              <w:rPr>
                <w:b/>
                <w:sz w:val="17"/>
              </w:rPr>
              <w:t xml:space="preserve">Backbone</w:t>
            </w:r>
          </w:p>
        </w:tc>
        <w:tc>
          <w:tcPr/>
          <w:p>
            <w:pPr>
              <w:pStyle w:val="Compact"/>
              <w:keepNext/>
            </w:pPr>
            <w:r>
              <w:rPr>
                <w:b/>
                <w:sz w:val="17"/>
              </w:rPr>
              <w:t xml:space="preserve">ICC</w:t>
            </w:r>
          </w:p>
        </w:tc>
        <w:tc>
          <w:tcPr/>
          <w:p>
            <w:pPr>
              <w:pStyle w:val="Compact"/>
              <w:keepNext/>
            </w:pPr>
            <m:oMath>
              <m:r>
                <m:t>α</m:t>
              </m:r>
            </m:oMath>
          </w:p>
        </w:tc>
        <w:tc>
          <w:tcPr/>
          <w:p>
            <w:pPr>
              <w:pStyle w:val="Compact"/>
              <w:keepNext/>
            </w:pPr>
            <w:r>
              <w:rPr>
                <w:b/>
                <w:sz w:val="17"/>
              </w:rPr>
              <w:t xml:space="preserve">Deficit [Monte Carlo 95%]</w:t>
            </w:r>
          </w:p>
        </w:tc>
        <w:tc>
          <w:tcPr/>
          <w:p>
            <w:pPr>
              <w:pStyle w:val="Compact"/>
              <w:keepNext/>
            </w:pPr>
            <w:r>
              <w:rPr>
                <w:b/>
                <w:sz w:val="17"/>
              </w:rPr>
              <w:t xml:space="preserve">Record level [95% CI]</w:t>
            </w:r>
          </w:p>
        </w:tc>
        <w:tc>
          <w:tcPr/>
          <w:p>
            <w:pPr>
              <w:pStyle w:val="Compact"/>
              <w:keepNext/>
            </w:pPr>
            <w:r>
              <w:rPr>
                <w:b/>
                <w:sz w:val="17"/>
              </w:rPr>
              <w:t xml:space="preserve">Holm</w:t>
            </w:r>
            <w:r>
              <w:rPr>
                <w:b/>
                <w:sz w:val="17"/>
              </w:rPr>
              <w:t xml:space="preserve"> </w:t>
            </w:r>
            <m:oMath>
              <m:r>
                <m:t>p</m:t>
              </m:r>
            </m:oMath>
          </w:p>
        </w:tc>
      </w:tr>
      <w:tr>
        <w:trPr>
          <w:cantSplit/>
        </w:trPr>
        <w:tc>
          <w:tcPr/>
          <w:p>
            <w:pPr>
              <w:pStyle w:val="Compact"/>
            </w:pPr>
            <w:r>
              <w:rPr>
                <w:sz w:val="17"/>
              </w:rPr>
              <w:t xml:space="preserve">SmallECGNet</w:t>
            </w:r>
          </w:p>
        </w:tc>
        <w:tc>
          <w:tcPr/>
          <w:p>
            <w:pPr>
              <w:pStyle w:val="Compact"/>
            </w:pPr>
            <w:r>
              <w:rPr>
                <w:sz w:val="17"/>
              </w:rPr>
              <w:t xml:space="preserve">0.519</w:t>
            </w:r>
          </w:p>
        </w:tc>
        <w:tc>
          <w:tcPr/>
          <w:p>
            <w:pPr>
              <w:pStyle w:val="Compact"/>
            </w:pPr>
            <w:r>
              <w:rPr>
                <w:sz w:val="17"/>
              </w:rPr>
              <w:t xml:space="preserve">0.10</w:t>
            </w:r>
          </w:p>
        </w:tc>
        <w:tc>
          <w:tcPr/>
          <w:p>
            <w:pPr>
              <w:pStyle w:val="Compact"/>
            </w:pPr>
            <w:r>
              <w:rPr>
                <w:sz w:val="17"/>
              </w:rPr>
              <w:t xml:space="preserve">+1.49 [0.34, 2.71]</w:t>
            </w:r>
          </w:p>
        </w:tc>
        <w:tc>
          <w:tcPr/>
          <w:p>
            <w:pPr>
              <w:pStyle w:val="Compact"/>
            </w:pPr>
            <w:r>
              <w:rPr>
                <w:sz w:val="17"/>
              </w:rPr>
              <w:t xml:space="preserve">+1.26 [−2.70, +5.22]</w:t>
            </w:r>
          </w:p>
        </w:tc>
        <w:tc>
          <w:tcPr/>
          <w:p>
            <w:pPr>
              <w:pStyle w:val="Compact"/>
            </w:pPr>
            <w:r>
              <w:rPr>
                <w:sz w:val="17"/>
              </w:rPr>
              <w:t xml:space="preserve">0.77</w:t>
            </w:r>
          </w:p>
        </w:tc>
      </w:tr>
      <w:tr>
        <w:trPr>
          <w:cantSplit/>
        </w:trPr>
        <w:tc>
          <w:tcPr/>
          <w:p>
            <w:pPr>
              <w:pStyle w:val="Compact"/>
            </w:pPr>
          </w:p>
        </w:tc>
        <w:tc>
          <w:tcPr/>
          <w:p>
            <w:pPr>
              <w:pStyle w:val="Compact"/>
            </w:pPr>
          </w:p>
        </w:tc>
        <w:tc>
          <w:tcPr/>
          <w:p>
            <w:pPr>
              <w:pStyle w:val="Compact"/>
            </w:pPr>
            <w:r>
              <w:rPr>
                <w:sz w:val="17"/>
              </w:rPr>
              <w:t xml:space="preserve">0.15</w:t>
            </w:r>
          </w:p>
        </w:tc>
        <w:tc>
          <w:tcPr/>
          <w:p>
            <w:pPr>
              <w:pStyle w:val="Compact"/>
            </w:pPr>
            <w:r>
              <w:rPr>
                <w:sz w:val="17"/>
              </w:rPr>
              <w:t xml:space="preserve">+2.21 [0.85, 3.60]</w:t>
            </w:r>
          </w:p>
        </w:tc>
        <w:tc>
          <w:tcPr/>
          <w:p>
            <w:pPr>
              <w:pStyle w:val="Compact"/>
            </w:pPr>
            <w:r>
              <w:rPr>
                <w:sz w:val="17"/>
              </w:rPr>
              <w:t xml:space="preserve">+1.36 [−3.21, +5.93]</w:t>
            </w:r>
          </w:p>
        </w:tc>
        <w:tc>
          <w:tcPr/>
          <w:p>
            <w:pPr>
              <w:pStyle w:val="Compact"/>
            </w:pPr>
            <w:r>
              <w:rPr>
                <w:sz w:val="17"/>
              </w:rPr>
              <w:t xml:space="preserve">0.77</w:t>
            </w:r>
          </w:p>
        </w:tc>
      </w:tr>
      <w:tr>
        <w:trPr>
          <w:cantSplit/>
        </w:trPr>
        <w:tc>
          <w:tcPr/>
          <w:p>
            <w:pPr>
              <w:pStyle w:val="Compact"/>
            </w:pPr>
          </w:p>
        </w:tc>
        <w:tc>
          <w:tcPr/>
          <w:p>
            <w:pPr>
              <w:pStyle w:val="Compact"/>
            </w:pPr>
          </w:p>
        </w:tc>
        <w:tc>
          <w:tcPr/>
          <w:p>
            <w:pPr>
              <w:pStyle w:val="Compact"/>
            </w:pPr>
            <w:r>
              <w:rPr>
                <w:sz w:val="17"/>
              </w:rPr>
              <w:t xml:space="preserve">0.20</w:t>
            </w:r>
          </w:p>
        </w:tc>
        <w:tc>
          <w:tcPr/>
          <w:p>
            <w:pPr>
              <w:pStyle w:val="Compact"/>
            </w:pPr>
            <w:r>
              <w:rPr>
                <w:sz w:val="17"/>
              </w:rPr>
              <w:t xml:space="preserve">+2.37 [0.79, 3.93]</w:t>
            </w:r>
          </w:p>
        </w:tc>
        <w:tc>
          <w:tcPr/>
          <w:p>
            <w:pPr>
              <w:pStyle w:val="Compact"/>
            </w:pPr>
            <w:r>
              <w:rPr>
                <w:sz w:val="17"/>
              </w:rPr>
              <w:t xml:space="preserve">+1.02 [−4.67, +6.71]</w:t>
            </w:r>
          </w:p>
        </w:tc>
        <w:tc>
          <w:tcPr/>
          <w:p>
            <w:pPr>
              <w:pStyle w:val="Compact"/>
            </w:pPr>
            <w:r>
              <w:rPr>
                <w:sz w:val="17"/>
              </w:rPr>
              <w:t xml:space="preserve">0.77</w:t>
            </w:r>
          </w:p>
        </w:tc>
      </w:tr>
      <w:tr>
        <w:trPr>
          <w:cantSplit/>
        </w:trPr>
        <w:tc>
          <w:tcPr/>
          <w:p>
            <w:pPr>
              <w:pStyle w:val="Compact"/>
            </w:pPr>
            <w:r>
              <w:rPr>
                <w:sz w:val="17"/>
              </w:rPr>
              <w:t xml:space="preserve">ResNet1D-34</w:t>
            </w:r>
          </w:p>
        </w:tc>
        <w:tc>
          <w:tcPr/>
          <w:p>
            <w:pPr>
              <w:pStyle w:val="Compact"/>
            </w:pPr>
            <w:r>
              <w:rPr>
                <w:sz w:val="17"/>
              </w:rPr>
              <w:t xml:space="preserve">0.436</w:t>
            </w:r>
          </w:p>
        </w:tc>
        <w:tc>
          <w:tcPr/>
          <w:p>
            <w:pPr>
              <w:pStyle w:val="Compact"/>
            </w:pPr>
            <w:r>
              <w:rPr>
                <w:sz w:val="17"/>
              </w:rPr>
              <w:t xml:space="preserve">0.10</w:t>
            </w:r>
          </w:p>
        </w:tc>
        <w:tc>
          <w:tcPr/>
          <w:p>
            <w:pPr>
              <w:pStyle w:val="Compact"/>
            </w:pPr>
            <w:r>
              <w:rPr>
                <w:sz w:val="17"/>
              </w:rPr>
              <w:t xml:space="preserve">+1.15 [0.10, 2.23]</w:t>
            </w:r>
          </w:p>
        </w:tc>
        <w:tc>
          <w:tcPr/>
          <w:p>
            <w:pPr>
              <w:pStyle w:val="Compact"/>
            </w:pPr>
            <w:r>
              <w:rPr>
                <w:sz w:val="17"/>
              </w:rPr>
              <w:t xml:space="preserve">+1.55 [−2.15, +5.26]</w:t>
            </w:r>
          </w:p>
        </w:tc>
        <w:tc>
          <w:tcPr/>
          <w:p>
            <w:pPr>
              <w:pStyle w:val="Compact"/>
            </w:pPr>
            <w:r>
              <w:rPr>
                <w:sz w:val="17"/>
              </w:rPr>
              <w:t xml:space="preserve">0.59</w:t>
            </w:r>
          </w:p>
        </w:tc>
      </w:tr>
      <w:tr>
        <w:trPr>
          <w:cantSplit/>
        </w:trPr>
        <w:tc>
          <w:tcPr/>
          <w:p>
            <w:pPr>
              <w:pStyle w:val="Compact"/>
            </w:pPr>
          </w:p>
        </w:tc>
        <w:tc>
          <w:tcPr/>
          <w:p>
            <w:pPr>
              <w:pStyle w:val="Compact"/>
            </w:pPr>
          </w:p>
        </w:tc>
        <w:tc>
          <w:tcPr/>
          <w:p>
            <w:pPr>
              <w:pStyle w:val="Compact"/>
            </w:pPr>
            <w:r>
              <w:rPr>
                <w:sz w:val="17"/>
              </w:rPr>
              <w:t xml:space="preserve">0.15</w:t>
            </w:r>
          </w:p>
        </w:tc>
        <w:tc>
          <w:tcPr/>
          <w:p>
            <w:pPr>
              <w:pStyle w:val="Compact"/>
            </w:pPr>
            <w:r>
              <w:rPr>
                <w:sz w:val="17"/>
              </w:rPr>
              <w:t xml:space="preserve">+1.02 [−0.16, 2.23]</w:t>
            </w:r>
          </w:p>
        </w:tc>
        <w:tc>
          <w:tcPr/>
          <w:p>
            <w:pPr>
              <w:pStyle w:val="Compact"/>
            </w:pPr>
            <w:r>
              <w:rPr>
                <w:sz w:val="17"/>
              </w:rPr>
              <w:t xml:space="preserve">+1.14 [−3.36, +5.63]</w:t>
            </w:r>
          </w:p>
        </w:tc>
        <w:tc>
          <w:tcPr/>
          <w:p>
            <w:pPr>
              <w:pStyle w:val="Compact"/>
            </w:pPr>
            <w:r>
              <w:rPr>
                <w:sz w:val="17"/>
              </w:rPr>
              <w:t xml:space="preserve">0.60</w:t>
            </w:r>
          </w:p>
        </w:tc>
      </w:tr>
      <w:tr>
        <w:trPr>
          <w:cantSplit/>
        </w:trPr>
        <w:tc>
          <w:tcPr/>
          <w:p>
            <w:pPr>
              <w:pStyle w:val="Compact"/>
            </w:pPr>
          </w:p>
        </w:tc>
        <w:tc>
          <w:tcPr/>
          <w:p>
            <w:pPr>
              <w:pStyle w:val="Compact"/>
            </w:pPr>
          </w:p>
        </w:tc>
        <w:tc>
          <w:tcPr/>
          <w:p>
            <w:pPr>
              <w:pStyle w:val="Compact"/>
            </w:pPr>
            <w:r>
              <w:rPr>
                <w:sz w:val="17"/>
              </w:rPr>
              <w:t xml:space="preserve">0.20</w:t>
            </w:r>
          </w:p>
        </w:tc>
        <w:tc>
          <w:tcPr/>
          <w:p>
            <w:pPr>
              <w:pStyle w:val="Compact"/>
            </w:pPr>
            <w:r>
              <w:rPr>
                <w:sz w:val="17"/>
              </w:rPr>
              <w:t xml:space="preserve">+0.81 [−0.59, 2.17]</w:t>
            </w:r>
          </w:p>
        </w:tc>
        <w:tc>
          <w:tcPr/>
          <w:p>
            <w:pPr>
              <w:pStyle w:val="Compact"/>
            </w:pPr>
            <w:r>
              <w:rPr>
                <w:sz w:val="17"/>
              </w:rPr>
              <w:t xml:space="preserve">+0.60 [−4.44, +5.65]</w:t>
            </w:r>
          </w:p>
        </w:tc>
        <w:tc>
          <w:tcPr/>
          <w:p>
            <w:pPr>
              <w:pStyle w:val="Compact"/>
            </w:pPr>
            <w:r>
              <w:rPr>
                <w:sz w:val="17"/>
              </w:rPr>
              <w:t xml:space="preserve">0.60</w:t>
            </w:r>
          </w:p>
        </w:tc>
      </w:tr>
      <w:tr>
        <w:trPr>
          <w:cantSplit/>
        </w:trPr>
        <w:tc>
          <w:tcPr/>
          <w:p>
            <w:pPr>
              <w:pStyle w:val="Compact"/>
            </w:pPr>
            <w:r>
              <w:rPr>
                <w:sz w:val="17"/>
              </w:rPr>
              <w:t xml:space="preserve">ResNet1D-50</w:t>
            </w:r>
          </w:p>
        </w:tc>
        <w:tc>
          <w:tcPr/>
          <w:p>
            <w:pPr>
              <w:pStyle w:val="Compact"/>
            </w:pPr>
            <w:r>
              <w:rPr>
                <w:sz w:val="17"/>
              </w:rPr>
              <w:t xml:space="preserve">0.462</w:t>
            </w:r>
          </w:p>
        </w:tc>
        <w:tc>
          <w:tcPr/>
          <w:p>
            <w:pPr>
              <w:pStyle w:val="Compact"/>
            </w:pPr>
            <w:r>
              <w:rPr>
                <w:sz w:val="17"/>
              </w:rPr>
              <w:t xml:space="preserve">0.10</w:t>
            </w:r>
          </w:p>
        </w:tc>
        <w:tc>
          <w:tcPr/>
          <w:p>
            <w:pPr>
              <w:pStyle w:val="Compact"/>
            </w:pPr>
            <w:r>
              <w:rPr>
                <w:sz w:val="17"/>
              </w:rPr>
              <w:t xml:space="preserve">+2.54 [1.25, 3.87]</w:t>
            </w:r>
          </w:p>
        </w:tc>
        <w:tc>
          <w:tcPr/>
          <w:p>
            <w:pPr>
              <w:pStyle w:val="Compact"/>
            </w:pPr>
            <w:r>
              <w:rPr>
                <w:sz w:val="17"/>
              </w:rPr>
              <w:t xml:space="preserve">+1.72 [−3.70, +7.14]</w:t>
            </w:r>
          </w:p>
        </w:tc>
        <w:tc>
          <w:tcPr/>
          <w:p>
            <w:pPr>
              <w:pStyle w:val="Compact"/>
            </w:pPr>
            <w:r>
              <w:rPr>
                <w:sz w:val="17"/>
              </w:rPr>
              <w:t xml:space="preserve">0.68</w:t>
            </w:r>
          </w:p>
        </w:tc>
      </w:tr>
      <w:tr>
        <w:trPr>
          <w:cantSplit/>
        </w:trPr>
        <w:tc>
          <w:tcPr/>
          <w:p>
            <w:pPr>
              <w:pStyle w:val="Compact"/>
            </w:pPr>
          </w:p>
        </w:tc>
        <w:tc>
          <w:tcPr/>
          <w:p>
            <w:pPr>
              <w:pStyle w:val="Compact"/>
            </w:pPr>
          </w:p>
        </w:tc>
        <w:tc>
          <w:tcPr/>
          <w:p>
            <w:pPr>
              <w:pStyle w:val="Compact"/>
            </w:pPr>
            <w:r>
              <w:rPr>
                <w:sz w:val="17"/>
              </w:rPr>
              <w:t xml:space="preserve">0.15</w:t>
            </w:r>
          </w:p>
        </w:tc>
        <w:tc>
          <w:tcPr/>
          <w:p>
            <w:pPr>
              <w:pStyle w:val="Compact"/>
            </w:pPr>
            <w:r>
              <w:rPr>
                <w:sz w:val="17"/>
              </w:rPr>
              <w:t xml:space="preserve">+3.42 [1.91, 4.98]</w:t>
            </w:r>
          </w:p>
        </w:tc>
        <w:tc>
          <w:tcPr/>
          <w:p>
            <w:pPr>
              <w:pStyle w:val="Compact"/>
            </w:pPr>
            <w:r>
              <w:rPr>
                <w:sz w:val="17"/>
              </w:rPr>
              <w:t xml:space="preserve">+1.83 [−3.16, +6.81]</w:t>
            </w:r>
          </w:p>
        </w:tc>
        <w:tc>
          <w:tcPr/>
          <w:p>
            <w:pPr>
              <w:pStyle w:val="Compact"/>
            </w:pPr>
            <w:r>
              <w:rPr>
                <w:sz w:val="17"/>
              </w:rPr>
              <w:t xml:space="preserve">0.68</w:t>
            </w:r>
          </w:p>
        </w:tc>
      </w:tr>
      <w:tr>
        <w:trPr>
          <w:cantSplit/>
        </w:trPr>
        <w:tc>
          <w:tcPr/>
          <w:p>
            <w:pPr>
              <w:pStyle w:val="Compact"/>
            </w:pPr>
          </w:p>
        </w:tc>
        <w:tc>
          <w:tcPr/>
          <w:p>
            <w:pPr>
              <w:pStyle w:val="Compact"/>
            </w:pPr>
          </w:p>
        </w:tc>
        <w:tc>
          <w:tcPr/>
          <w:p>
            <w:pPr>
              <w:pStyle w:val="Compact"/>
            </w:pPr>
            <w:r>
              <w:rPr>
                <w:sz w:val="17"/>
              </w:rPr>
              <w:t xml:space="preserve">0.20</w:t>
            </w:r>
          </w:p>
        </w:tc>
        <w:tc>
          <w:tcPr/>
          <w:p>
            <w:pPr>
              <w:pStyle w:val="Compact"/>
            </w:pPr>
            <w:r>
              <w:rPr>
                <w:sz w:val="17"/>
              </w:rPr>
              <w:t xml:space="preserve">+3.18 [1.54, 4.82]</w:t>
            </w:r>
          </w:p>
        </w:tc>
        <w:tc>
          <w:tcPr/>
          <w:p>
            <w:pPr>
              <w:pStyle w:val="Compact"/>
            </w:pPr>
            <w:r>
              <w:rPr>
                <w:sz w:val="17"/>
              </w:rPr>
              <w:t xml:space="preserve">+1.17 [−4.07, +6.42]</w:t>
            </w:r>
          </w:p>
        </w:tc>
        <w:tc>
          <w:tcPr/>
          <w:p>
            <w:pPr>
              <w:pStyle w:val="Compact"/>
            </w:pPr>
            <w:r>
              <w:rPr>
                <w:sz w:val="17"/>
              </w:rPr>
              <w:t xml:space="preserve">0.68</w:t>
            </w:r>
          </w:p>
        </w:tc>
      </w:tr>
    </w:tbl>
    <w:p>
      <w:pPr>
        <w:pStyle w:val="BodyText"/>
        <w:jc w:val="both"/>
      </w:pPr>
      <w:r>
        <w:rPr>
          <w:b/>
          <w:bCs/>
        </w:rPr>
        <w:t xml:space="preserve">Weighting.</w:t>
      </w:r>
      <w:r>
        <w:t xml:space="preserve"> </w:t>
      </w:r>
      <w:r>
        <w:t xml:space="preserve">Averaging coverage within each test record before averaging over</w:t>
      </w:r>
      <w:r>
        <w:t xml:space="preserve"> </w:t>
      </w:r>
      <w:r>
        <w:t xml:space="preserve">records, the empirical counterpart of (2), does not weaken these findings (full</w:t>
      </w:r>
      <w:r>
        <w:t xml:space="preserve"> </w:t>
      </w:r>
      <w:r>
        <w:t xml:space="preserve">data of the same jackknife runs). Block-weighted B1 coverage lies below its</w:t>
      </w:r>
      <w:r>
        <w:t xml:space="preserve"> </w:t>
      </w:r>
      <w:r>
        <w:t xml:space="preserve">observation-weighted value in all nine cells, and the deficit against the</w:t>
      </w:r>
      <w:r>
        <w:t xml:space="preserve"> </w:t>
      </w:r>
      <w:r>
        <w:t xml:space="preserve">permutation null becomes 1.43–2.61 pp. Block-weighted HCP coverage stays above</w:t>
      </w:r>
      <w:r>
        <w:t xml:space="preserve"> </w:t>
      </w:r>
      <m:oMath>
        <m:r>
          <m:t>1</m:t>
        </m:r>
        <m:r>
          <m:rPr>
            <m:sty m:val="p"/>
          </m:rPr>
          <m:t>−</m:t>
        </m:r>
        <m:r>
          <m:t>α</m:t>
        </m:r>
      </m:oMath>
      <w:r>
        <w:t xml:space="preserve"> </w:t>
      </w:r>
      <w:r>
        <w:t xml:space="preserve">at every level and for every backbone (0.9531–0.9548 at</w:t>
      </w:r>
      <w:r>
        <w:t xml:space="preserve"> </w:t>
      </w:r>
      <m:oMath>
        <m:r>
          <m:t>α</m:t>
        </m:r>
        <m:r>
          <m:rPr>
            <m:sty m:val="p"/>
          </m:rPr>
          <m:t>=</m:t>
        </m:r>
        <m:r>
          <m:t>0.10</m:t>
        </m:r>
      </m:oMath>
      <w:r>
        <w:t xml:space="preserve">,</w:t>
      </w:r>
      <w:r>
        <w:t xml:space="preserve"> </w:t>
      </w:r>
      <w:r>
        <w:t xml:space="preserve">0.9146–0.9178 at 0.15 and 0.8557–0.8565 at 0.20), as guarantee (2) requires.</w:t>
      </w:r>
    </w:p>
    <w:p>
      <w:pPr>
        <w:pStyle w:val="BodyText"/>
        <w:jc w:val="both"/>
      </w:pPr>
      <w:r>
        <w:t xml:space="preserve">This control also shows why a B12-versus-B1 comparison says little. We define the</w:t>
      </w:r>
      <w:r>
        <w:t xml:space="preserve"> </w:t>
      </w:r>
      <w:r>
        <w:t xml:space="preserve">mechanical share as the B12−B1 gap in the permuted arm divided by the same gap on</w:t>
      </w:r>
      <w:r>
        <w:t xml:space="preserve"> </w:t>
      </w:r>
      <w:r>
        <w:t xml:space="preserve">the original data. Its values lie between 81% and 107%: removing dependence</w:t>
      </w:r>
      <w:r>
        <w:t xml:space="preserve"> </w:t>
      </w:r>
      <w:r>
        <w:t xml:space="preserve">hardly alters the gap, and at</w:t>
      </w:r>
      <w:r>
        <w:t xml:space="preserve"> </w:t>
      </w:r>
      <m:oMath>
        <m:r>
          <m:t>α</m:t>
        </m:r>
        <m:r>
          <m:rPr>
            <m:sty m:val="p"/>
          </m:rPr>
          <m:t>=</m:t>
        </m:r>
        <m:r>
          <m:t>0.10</m:t>
        </m:r>
      </m:oMath>
      <w:r>
        <w:t xml:space="preserve"> </w:t>
      </w:r>
      <w:r>
        <w:t xml:space="preserve">the gap is even slightly wider</w:t>
      </w:r>
      <w:r>
        <w:t xml:space="preserve"> </w:t>
      </w:r>
      <w:r>
        <w:t xml:space="preserve">without dependence than with it, because the finite-block correction pushes HCP</w:t>
      </w:r>
      <w:r>
        <w:t xml:space="preserve"> </w:t>
      </w:r>
      <w:r>
        <w:t xml:space="preserve">to the</w:t>
      </w:r>
      <w:r>
        <w:t xml:space="preserve"> </w:t>
      </w:r>
      <m:oMath>
        <m:r>
          <m:rPr>
            <m:sty m:val="p"/>
          </m:rPr>
          <m:t>(</m:t>
        </m:r>
        <m:r>
          <m:t>1</m:t>
        </m:r>
        <m:r>
          <m:rPr>
            <m:sty m:val="p"/>
          </m:rPr>
          <m:t>−</m:t>
        </m:r>
        <m:r>
          <m:t>α</m:t>
        </m:r>
        <m:r>
          <m:rPr>
            <m:sty m:val="p"/>
          </m:rPr>
          <m:t>)</m:t>
        </m:r>
        <m:r>
          <m:rPr>
            <m:sty m:val="p"/>
          </m:rPr>
          <m:t>(</m:t>
        </m:r>
        <m:sSub>
          <m:e>
            <m:r>
              <m:t>K</m:t>
            </m:r>
          </m:e>
          <m:sub>
            <m:r>
              <m:t>1</m:t>
            </m:r>
          </m:sub>
        </m:sSub>
        <m:r>
          <m:rPr>
            <m:sty m:val="p"/>
          </m:rPr>
          <m:t>+</m:t>
        </m:r>
        <m:r>
          <m:t>1</m:t>
        </m:r>
        <m:r>
          <m:rPr>
            <m:sty m:val="p"/>
          </m:rPr>
          <m:t>)</m:t>
        </m:r>
        <m:r>
          <m:rPr>
            <m:sty m:val="p"/>
          </m:rPr>
          <m:t>/</m:t>
        </m:r>
        <m:sSub>
          <m:e>
            <m:r>
              <m:t>K</m:t>
            </m:r>
          </m:e>
          <m:sub>
            <m:r>
              <m:t>1</m:t>
            </m:r>
          </m:sub>
        </m:sSub>
      </m:oMath>
      <w:r>
        <w:t xml:space="preserve"> </w:t>
      </w:r>
      <w:r>
        <w:t xml:space="preserve">quantile whether or not dependence is present.</w:t>
      </w:r>
      <w:r>
        <w:t xml:space="preserve"> </w:t>
      </w:r>
      <w:r>
        <w:t xml:space="preserve">“B12</w:t>
      </w:r>
      <w:r>
        <w:t xml:space="preserve"> </w:t>
      </w:r>
      <w:r>
        <w:t xml:space="preserve">improves on B1”</w:t>
      </w:r>
      <w:r>
        <w:t xml:space="preserve"> </w:t>
      </w:r>
      <w:r>
        <w:t xml:space="preserve">was consequently withdrawn as a criterion (§6.4), and the</w:t>
      </w:r>
      <w:r>
        <w:t xml:space="preserve"> </w:t>
      </w:r>
      <w:r>
        <w:t xml:space="preserve">deficit against the permutation null is the evidence used throughout.</w:t>
      </w:r>
    </w:p>
    <w:p>
      <w:pPr>
        <w:pStyle w:val="BodyText"/>
        <w:jc w:val="both"/>
      </w:pPr>
      <w:r>
        <w:rPr>
          <w:b/>
          <w:bCs/>
        </w:rPr>
        <w:t xml:space="preserve">Factorial decomposition.</w:t>
      </w:r>
      <w:r>
        <w:t xml:space="preserve"> </w:t>
      </w:r>
      <w:r>
        <w:t xml:space="preserve">A 2×2 design crossed clustering (original versus</w:t>
      </w:r>
      <w:r>
        <w:t xml:space="preserve"> </w:t>
      </w:r>
      <w:r>
        <w:t xml:space="preserve">randomized record membership) with block-size balance (balanced versus</w:t>
      </w:r>
      <w:r>
        <w:t xml:space="preserve"> </w:t>
      </w:r>
      <w:r>
        <w:t xml:space="preserve">imbalanced) with calibration size matched in expectation (§4.4). Clustering lowered</w:t>
      </w:r>
      <w:r>
        <w:t xml:space="preserve"> </w:t>
      </w:r>
      <w:r>
        <w:t xml:space="preserve">coverage by 1.22, 1.55 and 1.49 pp at</w:t>
      </w:r>
      <w:r>
        <w:t xml:space="preserve"> </w:t>
      </w:r>
      <m:oMath>
        <m:r>
          <m:t>α</m:t>
        </m:r>
        <m:r>
          <m:rPr>
            <m:sty m:val="p"/>
          </m:rPr>
          <m:t>=</m:t>
        </m:r>
        <m:r>
          <m:t>0.10</m:t>
        </m:r>
        <m:r>
          <m:rPr>
            <m:sty m:val="p"/>
          </m:rPr>
          <m:t>,</m:t>
        </m:r>
        <m:r>
          <m:t>0.15</m:t>
        </m:r>
        <m:r>
          <m:rPr>
            <m:sty m:val="p"/>
          </m:rPr>
          <m:t>,</m:t>
        </m:r>
        <m:r>
          <m:t>0.20</m:t>
        </m:r>
      </m:oMath>
      <w:r>
        <w:t xml:space="preserve">, with Monte Carlo</w:t>
      </w:r>
      <w:r>
        <w:t xml:space="preserve"> </w:t>
      </w:r>
      <w:r>
        <w:t xml:space="preserve">intervals over 400 splits that exclude zero (for example</w:t>
      </w:r>
      <w:r>
        <w:t xml:space="preserve"> </w:t>
      </w:r>
      <m:oMath>
        <m:r>
          <m:rPr>
            <m:sty m:val="p"/>
          </m:rPr>
          <m:t>[</m:t>
        </m:r>
        <m:r>
          <m:rPr>
            <m:sty m:val="p"/>
          </m:rPr>
          <m:t>−</m:t>
        </m:r>
        <m:r>
          <m:t>1.84</m:t>
        </m:r>
        <m:r>
          <m:rPr>
            <m:sty m:val="p"/>
          </m:rPr>
          <m:t>,</m:t>
        </m:r>
        <m:r>
          <m:rPr>
            <m:sty m:val="p"/>
          </m:rPr>
          <m:t>−</m:t>
        </m:r>
        <m:r>
          <m:t>0.63</m:t>
        </m:r>
        <m:r>
          <m:rPr>
            <m:sty m:val="p"/>
          </m:rPr>
          <m:t>]</m:t>
        </m:r>
      </m:oMath>
      <w:r>
        <w:t xml:space="preserve"> </w:t>
      </w:r>
      <w:r>
        <w:t xml:space="preserve">pp at</w:t>
      </w:r>
      <w:r>
        <w:t xml:space="preserve"> </w:t>
      </w:r>
      <w:r>
        <w:t xml:space="preserve">0.10). The imbalance main effect was smaller (−0.44, −0.26, −0.27 pp), and</w:t>
      </w:r>
      <w:r>
        <w:t xml:space="preserve"> </w:t>
      </w:r>
      <w:r>
        <w:t xml:space="preserve">imbalance acted mainly through clustering: at</w:t>
      </w:r>
      <w:r>
        <w:t xml:space="preserve"> </w:t>
      </w:r>
      <m:oMath>
        <m:r>
          <m:t>α</m:t>
        </m:r>
        <m:r>
          <m:rPr>
            <m:sty m:val="p"/>
          </m:rPr>
          <m:t>=</m:t>
        </m:r>
        <m:r>
          <m:t>0.10</m:t>
        </m:r>
      </m:oMath>
      <w:r>
        <w:t xml:space="preserve"> </w:t>
      </w:r>
      <w:r>
        <w:t xml:space="preserve">it lowered coverage by</w:t>
      </w:r>
      <w:r>
        <w:t xml:space="preserve"> </w:t>
      </w:r>
      <w:r>
        <w:t xml:space="preserve">0.83 pp when records were clustered but by 0.04 pp when membership was</w:t>
      </w:r>
      <w:r>
        <w:t xml:space="preserve"> </w:t>
      </w:r>
      <w:r>
        <w:t xml:space="preserve">randomized (interaction −0.79 pp; −0.54 and −0.52 pp at the other levels), as the</w:t>
      </w:r>
      <w:r>
        <w:t xml:space="preserve"> </w:t>
      </w:r>
      <w:r>
        <w:t xml:space="preserve">pooled design effect in (4), which grows with</w:t>
      </w:r>
      <w:r>
        <w:t xml:space="preserve"> </w:t>
      </w:r>
      <m:oMath>
        <m:nary>
          <m:naryPr>
            <m:chr m:val="∑"/>
            <m:limLoc m:val="undOvr"/>
            <m:subHide m:val="off"/>
            <m:supHide m:val="on"/>
          </m:naryPr>
          <m:sub>
            <m:r>
              <m:t>k</m:t>
            </m:r>
          </m:sub>
          <m:sup>
            <m:r>
              <m:t>​</m:t>
            </m:r>
          </m:sup>
          <m:e>
            <m:sSubSup>
              <m:e>
                <m:r>
                  <m:t>N</m:t>
                </m:r>
              </m:e>
              <m:sub>
                <m:r>
                  <m:t>k</m:t>
                </m:r>
              </m:sub>
              <m:sup>
                <m:r>
                  <m:t>2</m:t>
                </m:r>
              </m:sup>
            </m:sSubSup>
          </m:e>
        </m:nary>
      </m:oMath>
      <w:r>
        <w:t xml:space="preserve"> </w:t>
      </w:r>
      <w:r>
        <w:t xml:space="preserve">only when</w:t>
      </w:r>
      <w:r>
        <w:t xml:space="preserve"> </w:t>
      </w:r>
      <m:oMath>
        <m:r>
          <m:t>ρ</m:t>
        </m:r>
        <m:r>
          <m:rPr>
            <m:sty m:val="p"/>
          </m:rPr>
          <m:t>&gt;</m:t>
        </m:r>
        <m:r>
          <m:t>0</m:t>
        </m:r>
      </m:oMath>
      <w:r>
        <w:t xml:space="preserve">,</w:t>
      </w:r>
      <w:r>
        <w:t xml:space="preserve"> </w:t>
      </w:r>
      <w:r>
        <w:t xml:space="preserve">anticipates. Block-size imbalance therefore does not produce the deficit on its</w:t>
      </w:r>
      <w:r>
        <w:t xml:space="preserve"> </w:t>
      </w:r>
      <w:r>
        <w:t xml:space="preserve">own; it amplifies the effect of clustering. Like those of Table VI, these</w:t>
      </w:r>
      <w:r>
        <w:t xml:space="preserve"> </w:t>
      </w:r>
      <w:r>
        <w:t xml:space="preserve">intervals are conditional on the 22 DS2 records. Fig. 6 places the two controls</w:t>
      </w:r>
      <w:r>
        <w:t xml:space="preserve"> </w:t>
      </w:r>
      <w:r>
        <w:t xml:space="preserve">next to each other: panel (a) shows the clustering effect dominating, and panel</w:t>
      </w:r>
      <w:r>
        <w:t xml:space="preserve"> </w:t>
      </w:r>
      <w:r>
        <w:t xml:space="preserve">(b) that the B12−B1 gap keeps nearly its full size once dependence is permuted</w:t>
      </w:r>
      <w:r>
        <w:t xml:space="preserve"> </w:t>
      </w:r>
      <w:r>
        <w:t xml:space="preserve">away.</w:t>
      </w:r>
    </w:p>
    <w:p>
      <w:pPr>
        <w:pStyle w:val="CaptionedFigure"/>
        <w:jc w:val="both"/>
      </w:pPr>
      <w:r>
        <w:drawing>
          <wp:inline>
            <wp:extent cx="5334000" cy="1559365"/>
            <wp:effectExtent b="0" l="0" r="0" t="0"/>
            <wp:docPr descr="Fig. 6. Attribution of the MIT-BIH deficit, primary backbone. (a) Effects of clustering, block-size imbalance and their interaction on B1 coverage in the 2×2 factorial design (Monte Carlo 95% interval over 400 splits; open markers include zero). (b) B12−B1 coverage gap on the original data and after permuting beats between records (bars: mean; whiskers: 2.5–97.5% range across splits). Percentages give the mechanical share, the permuted gap as a fraction of the original." title="" id="42" name="Picture"/>
            <a:graphic>
              <a:graphicData uri="http://schemas.openxmlformats.org/drawingml/2006/picture">
                <pic:pic>
                  <pic:nvPicPr>
                    <pic:cNvPr descr="figures/fig6_attribution.png" id="43" name="Picture"/>
                    <pic:cNvPicPr>
                      <a:picLocks noChangeArrowheads="1" noChangeAspect="1"/>
                    </pic:cNvPicPr>
                  </pic:nvPicPr>
                  <pic:blipFill>
                    <a:blip r:embed="rId41"/>
                    <a:stretch>
                      <a:fillRect/>
                    </a:stretch>
                  </pic:blipFill>
                  <pic:spPr bwMode="auto">
                    <a:xfrm>
                      <a:off x="0" y="0"/>
                      <a:ext cx="5334000" cy="1559365"/>
                    </a:xfrm>
                    <a:prstGeom prst="rect">
                      <a:avLst/>
                    </a:prstGeom>
                    <a:noFill/>
                    <a:ln w="9525">
                      <a:noFill/>
                      <a:headEnd/>
                      <a:tailEnd/>
                    </a:ln>
                  </pic:spPr>
                </pic:pic>
              </a:graphicData>
            </a:graphic>
          </wp:inline>
        </w:drawing>
      </w:r>
    </w:p>
    <w:p>
      <w:pPr>
        <w:pStyle w:val="ImageCaption"/>
        <w:jc w:val="both"/>
      </w:pPr>
      <w:r>
        <w:t xml:space="preserve">Fig. 6. Attribution of the MIT-BIH deficit, primary backbone. (a) Effects of clustering, block-size imbalance and their interaction on B1 coverage in the 2×2 factorial design (Monte Carlo 95% interval over 400 splits; open markers include zero). (b) B12−B1 coverage gap on the original data and after permuting beats between records (bars: mean; whiskers: 2.5–97.5% range across splits). Percentages give the mechanical share, the permuted gap as a fraction of the original.</w:t>
      </w:r>
    </w:p>
    <w:bookmarkEnd w:id="44"/>
    <w:bookmarkStart w:id="48" w:name="the-deficit-tracks-the-design-effect"/>
    <w:p>
      <w:pPr>
        <w:pStyle w:val="Heading2"/>
      </w:pPr>
      <w:r>
        <w:t xml:space="preserve">5.4 The deficit tracks the design effect</w:t>
      </w:r>
    </w:p>
    <w:p>
      <w:pPr>
        <w:pStyle w:val="FirstParagraph"/>
        <w:jc w:val="both"/>
      </w:pPr>
      <w:r>
        <w:t xml:space="preserve">To vary dependence inside a single dataset, we moved a fraction</w:t>
      </w:r>
      <w:r>
        <w:t xml:space="preserve"> </w:t>
      </w:r>
      <m:oMath>
        <m:r>
          <m:t>p</m:t>
        </m:r>
      </m:oMath>
      <w:r>
        <w:t xml:space="preserve"> </w:t>
      </w:r>
      <w:r>
        <w:t xml:space="preserve">of MIT-BIH</w:t>
      </w:r>
      <w:r>
        <w:t xml:space="preserve"> </w:t>
      </w:r>
      <w:r>
        <w:t xml:space="preserve">beats to randomly chosen records while subsampling every calibration record to</w:t>
      </w:r>
      <w:r>
        <w:t xml:space="preserve"> </w:t>
      </w:r>
      <w:r>
        <w:t xml:space="preserve">1,355 beats, so that calibration-block imbalance plays no part (11 values of</w:t>
      </w:r>
      <w:r>
        <w:t xml:space="preserve"> </w:t>
      </w:r>
      <m:oMath>
        <m:r>
          <m:t>p</m:t>
        </m:r>
      </m:oMath>
      <w:r>
        <w:t xml:space="preserve">,</w:t>
      </w:r>
      <w:r>
        <w:t xml:space="preserve"> </w:t>
      </w:r>
      <w:r>
        <w:t xml:space="preserve">300 splits each; test records are used in full). Over this</w:t>
      </w:r>
      <w:r>
        <w:t xml:space="preserve"> </w:t>
      </w:r>
      <w:r>
        <w:t xml:space="preserve">range the score ICC declines from 0.519 at</w:t>
      </w:r>
      <w:r>
        <w:t xml:space="preserve"> </w:t>
      </w:r>
      <m:oMath>
        <m:r>
          <m:t>p</m:t>
        </m:r>
        <m:r>
          <m:rPr>
            <m:sty m:val="p"/>
          </m:rPr>
          <m:t>=</m:t>
        </m:r>
        <m:r>
          <m:t>0</m:t>
        </m:r>
      </m:oMath>
      <w:r>
        <w:t xml:space="preserve"> </w:t>
      </w:r>
      <w:r>
        <w:t xml:space="preserve">to 0.0001 at</w:t>
      </w:r>
      <w:r>
        <w:t xml:space="preserve"> </w:t>
      </w:r>
      <m:oMath>
        <m:r>
          <m:t>p</m:t>
        </m:r>
        <m:r>
          <m:rPr>
            <m:sty m:val="p"/>
          </m:rPr>
          <m:t>=</m:t>
        </m:r>
        <m:r>
          <m:t>1</m:t>
        </m:r>
      </m:oMath>
      <w:r>
        <w:t xml:space="preserve">. Because</w:t>
      </w:r>
      <w:r>
        <w:t xml:space="preserve"> </w:t>
      </w:r>
      <w:r>
        <w:t xml:space="preserve">calibration records are subsampled to a common size, the deficits are smaller than in §5.3</w:t>
      </w:r>
      <w:r>
        <w:t xml:space="preserve"> </w:t>
      </w:r>
      <w:r>
        <w:t xml:space="preserve">(0.65 pp at</w:t>
      </w:r>
      <w:r>
        <w:t xml:space="preserve"> </w:t>
      </w:r>
      <m:oMath>
        <m:r>
          <m:t>p</m:t>
        </m:r>
        <m:r>
          <m:rPr>
            <m:sty m:val="p"/>
          </m:rPr>
          <m:t>=</m:t>
        </m:r>
        <m:r>
          <m:t>0</m:t>
        </m:r>
      </m:oMath>
      <w:r>
        <w:t xml:space="preserve">,</w:t>
      </w:r>
      <w:r>
        <w:t xml:space="preserve"> </w:t>
      </w:r>
      <m:oMath>
        <m:r>
          <m:t>α</m:t>
        </m:r>
        <m:r>
          <m:rPr>
            <m:sty m:val="p"/>
          </m:rPr>
          <m:t>=</m:t>
        </m:r>
        <m:r>
          <m:t>0.10</m:t>
        </m:r>
      </m:oMath>
      <w:r>
        <w:t xml:space="preserve">) and every per-point Monte Carlo interval includes</w:t>
      </w:r>
      <w:r>
        <w:t xml:space="preserve"> </w:t>
      </w:r>
      <w:r>
        <w:t xml:space="preserve">zero; the</w:t>
      </w:r>
      <w:r>
        <w:t xml:space="preserve"> </w:t>
      </w:r>
      <w:r>
        <w:t xml:space="preserve">evidence therefore lies in the trend across points, summarized by Spearman</w:t>
      </w:r>
      <w:r>
        <w:t xml:space="preserve"> </w:t>
      </w:r>
      <w:r>
        <w:t xml:space="preserve">correlations. These replace the cross-dataset test of the initial protocol</w:t>
      </w:r>
      <w:r>
        <w:t xml:space="preserve"> </w:t>
      </w:r>
      <w:r>
        <w:t xml:space="preserve">(§6.4) and are descriptive: all points derive from the same 22 records, so the</w:t>
      </w:r>
      <w:r>
        <w:t xml:space="preserve"> </w:t>
      </w:r>
      <w:r>
        <w:t xml:space="preserve">accompanying</w:t>
      </w:r>
      <w:r>
        <w:t xml:space="preserve"> </w:t>
      </w:r>
      <m:oMath>
        <m:r>
          <m:t>p</m:t>
        </m:r>
      </m:oMath>
      <w:r>
        <w:t xml:space="preserve">-values, which treat points as independent, are not population</w:t>
      </w:r>
      <w:r>
        <w:t xml:space="preserve"> </w:t>
      </w:r>
      <w:r>
        <w:t xml:space="preserve">inference. Table VII reports the correlations on three dependence axes, and</w:t>
      </w:r>
      <w:r>
        <w:t xml:space="preserve"> </w:t>
      </w:r>
      <w:r>
        <w:t xml:space="preserve">within MIT-BIH the deficit grows with ICC at all three levels.</w:t>
      </w:r>
    </w:p>
    <w:p>
      <w:pPr>
        <w:pStyle w:val="BodyText"/>
        <w:keepNext/>
        <w:spacing w:before="160"/>
        <w:jc w:val="center"/>
      </w:pPr>
      <w:r/>
      <w:r>
        <w:rPr>
          <w:sz w:val="18"/>
        </w:rPr>
        <w:t>TABLE VII</w:t>
      </w:r>
      <w:r>
        <w:br/>
      </w:r>
      <w:r>
        <w:rPr>
          <w:sz w:val="16"/>
        </w:rPr>
        <w:t>SPEARMAN CORRELATION BETWEEN DEPENDENCE AND COVERAGE DEFICIT (P-VALUES TREAT POINTS AS INDEPENDENT AND ARE SHOWN FOR COMPLETENESS).</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1485"/>
        <w:gridCol w:w="1980"/>
        <w:gridCol w:w="1485"/>
        <w:gridCol w:w="1485"/>
        <w:gridCol w:w="1485"/>
      </w:tblGrid>
      <w:tr>
        <w:trPr>
          <w:tblHeader w:val="on"/>
          <w:cantSplit/>
        </w:trPr>
        <w:tc>
          <w:tcPr/>
          <w:p>
            <w:pPr>
              <w:pStyle w:val="Compact"/>
              <w:keepNext/>
            </w:pPr>
            <w:r>
              <w:rPr>
                <w:b/>
                <w:sz w:val="17"/>
              </w:rPr>
              <w:t xml:space="preserve">Axis</w:t>
            </w:r>
          </w:p>
        </w:tc>
        <w:tc>
          <w:tcPr/>
          <w:p>
            <w:pPr>
              <w:pStyle w:val="Compact"/>
              <w:keepNext/>
              <w:jc w:val="right"/>
            </w:pPr>
            <w:r>
              <w:rPr>
                <w:b/>
                <w:sz w:val="17"/>
              </w:rPr>
              <w:t xml:space="preserve">Points</w:t>
            </w:r>
          </w:p>
        </w:tc>
        <w:tc>
          <w:tcPr/>
          <w:p>
            <w:pPr>
              <w:pStyle w:val="Compact"/>
              <w:keepNext/>
            </w:pPr>
            <m:oMath>
              <m:r>
                <m:t>α</m:t>
              </m:r>
              <m:r>
                <m:rPr>
                  <m:sty m:val="p"/>
                </m:rPr>
                <m:t>=</m:t>
              </m:r>
              <m:r>
                <m:t>0.10</m:t>
              </m:r>
            </m:oMath>
          </w:p>
        </w:tc>
        <w:tc>
          <w:tcPr/>
          <w:p>
            <w:pPr>
              <w:pStyle w:val="Compact"/>
              <w:keepNext/>
            </w:pPr>
            <m:oMath>
              <m:r>
                <m:t>α</m:t>
              </m:r>
              <m:r>
                <m:rPr>
                  <m:sty m:val="p"/>
                </m:rPr>
                <m:t>=</m:t>
              </m:r>
              <m:r>
                <m:t>0.15</m:t>
              </m:r>
            </m:oMath>
          </w:p>
        </w:tc>
        <w:tc>
          <w:tcPr/>
          <w:p>
            <w:pPr>
              <w:pStyle w:val="Compact"/>
              <w:keepNext/>
            </w:pPr>
            <m:oMath>
              <m:r>
                <m:t>α</m:t>
              </m:r>
              <m:r>
                <m:rPr>
                  <m:sty m:val="p"/>
                </m:rPr>
                <m:t>=</m:t>
              </m:r>
              <m:r>
                <m:t>0.20</m:t>
              </m:r>
            </m:oMath>
          </w:p>
        </w:tc>
      </w:tr>
      <w:tr>
        <w:trPr>
          <w:cantSplit/>
        </w:trPr>
        <w:tc>
          <w:tcPr/>
          <w:p>
            <w:pPr>
              <w:pStyle w:val="Compact"/>
              <w:keepNext/>
            </w:pPr>
            <w:r>
              <w:rPr>
                <w:sz w:val="17"/>
              </w:rPr>
              <w:t xml:space="preserve">Score ICC, MIT-BIH only</w:t>
            </w:r>
          </w:p>
        </w:tc>
        <w:tc>
          <w:tcPr/>
          <w:p>
            <w:pPr>
              <w:pStyle w:val="Compact"/>
              <w:keepNext/>
              <w:jc w:val="right"/>
            </w:pPr>
            <w:r>
              <w:rPr>
                <w:sz w:val="17"/>
              </w:rPr>
              <w:t xml:space="preserve">11</w:t>
            </w:r>
          </w:p>
        </w:tc>
        <w:tc>
          <w:tcPr/>
          <w:p>
            <w:pPr>
              <w:pStyle w:val="Compact"/>
              <w:keepNext/>
            </w:pPr>
            <w:r>
              <w:rPr>
                <w:sz w:val="17"/>
              </w:rPr>
              <w:t xml:space="preserve">0.88 (</w:t>
            </w:r>
            <m:oMath>
              <m:r>
                <m:t>p</m:t>
              </m:r>
              <m:r>
                <m:rPr>
                  <m:sty m:val="p"/>
                </m:rPr>
                <m:t>=</m:t>
              </m:r>
              <m:r>
                <m:t>0.0003</m:t>
              </m:r>
            </m:oMath>
            <w:r>
              <w:rPr>
                <w:sz w:val="17"/>
              </w:rPr>
              <w:t xml:space="preserve">)</w:t>
            </w:r>
          </w:p>
        </w:tc>
        <w:tc>
          <w:tcPr/>
          <w:p>
            <w:pPr>
              <w:pStyle w:val="Compact"/>
              <w:keepNext/>
            </w:pPr>
            <w:r>
              <w:rPr>
                <w:sz w:val="17"/>
              </w:rPr>
              <w:t xml:space="preserve">0.78 (</w:t>
            </w:r>
            <m:oMath>
              <m:r>
                <m:t>p</m:t>
              </m:r>
              <m:r>
                <m:rPr>
                  <m:sty m:val="p"/>
                </m:rPr>
                <m:t>=</m:t>
              </m:r>
              <m:r>
                <m:t>0.0045</m:t>
              </m:r>
            </m:oMath>
            <w:r>
              <w:rPr>
                <w:sz w:val="17"/>
              </w:rPr>
              <w:t xml:space="preserve">)</w:t>
            </w:r>
          </w:p>
        </w:tc>
        <w:tc>
          <w:tcPr/>
          <w:p>
            <w:pPr>
              <w:pStyle w:val="Compact"/>
              <w:keepNext/>
            </w:pPr>
            <w:r>
              <w:rPr>
                <w:sz w:val="17"/>
              </w:rPr>
              <w:t xml:space="preserve">0.80 (</w:t>
            </w:r>
            <m:oMath>
              <m:r>
                <m:t>p</m:t>
              </m:r>
              <m:r>
                <m:rPr>
                  <m:sty m:val="p"/>
                </m:rPr>
                <m:t>=</m:t>
              </m:r>
              <m:r>
                <m:t>0.0031</m:t>
              </m:r>
            </m:oMath>
            <w:r>
              <w:rPr>
                <w:sz w:val="17"/>
              </w:rPr>
              <w:t xml:space="preserve">)</w:t>
            </w:r>
          </w:p>
        </w:tc>
      </w:tr>
      <w:tr>
        <w:trPr>
          <w:cantSplit/>
        </w:trPr>
        <w:tc>
          <w:tcPr/>
          <w:p>
            <w:pPr>
              <w:pStyle w:val="Compact"/>
              <w:keepNext/>
            </w:pPr>
            <w:r>
              <w:rPr>
                <w:sz w:val="17"/>
              </w:rPr>
              <w:t xml:space="preserve">DEff, MIT-BIH + PTB-XL</w:t>
            </w:r>
          </w:p>
        </w:tc>
        <w:tc>
          <w:tcPr/>
          <w:p>
            <w:pPr>
              <w:pStyle w:val="Compact"/>
              <w:keepNext/>
              <w:jc w:val="right"/>
            </w:pPr>
            <w:r>
              <w:rPr>
                <w:sz w:val="17"/>
              </w:rPr>
              <w:t xml:space="preserve">12</w:t>
            </w:r>
          </w:p>
        </w:tc>
        <w:tc>
          <w:tcPr/>
          <w:p>
            <w:pPr>
              <w:pStyle w:val="Compact"/>
              <w:keepNext/>
            </w:pPr>
            <w:r>
              <w:rPr>
                <w:sz w:val="17"/>
              </w:rPr>
              <w:t xml:space="preserve">0.84 (</w:t>
            </w:r>
            <m:oMath>
              <m:r>
                <m:t>p</m:t>
              </m:r>
              <m:r>
                <m:rPr>
                  <m:sty m:val="p"/>
                </m:rPr>
                <m:t>=</m:t>
              </m:r>
              <m:r>
                <m:t>0.0006</m:t>
              </m:r>
            </m:oMath>
            <w:r>
              <w:rPr>
                <w:sz w:val="17"/>
              </w:rPr>
              <w:t xml:space="preserve">)</w:t>
            </w:r>
          </w:p>
        </w:tc>
        <w:tc>
          <w:tcPr/>
          <w:p>
            <w:pPr>
              <w:pStyle w:val="Compact"/>
              <w:keepNext/>
            </w:pPr>
            <w:r>
              <w:rPr>
                <w:sz w:val="17"/>
              </w:rPr>
              <w:t xml:space="preserve">0.80 (</w:t>
            </w:r>
            <m:oMath>
              <m:r>
                <m:t>p</m:t>
              </m:r>
              <m:r>
                <m:rPr>
                  <m:sty m:val="p"/>
                </m:rPr>
                <m:t>=</m:t>
              </m:r>
              <m:r>
                <m:t>0.0016</m:t>
              </m:r>
            </m:oMath>
            <w:r>
              <w:rPr>
                <w:sz w:val="17"/>
              </w:rPr>
              <w:t xml:space="preserve">)</w:t>
            </w:r>
          </w:p>
        </w:tc>
        <w:tc>
          <w:tcPr/>
          <w:p>
            <w:pPr>
              <w:pStyle w:val="Compact"/>
              <w:keepNext/>
            </w:pPr>
            <w:r>
              <w:rPr>
                <w:sz w:val="17"/>
              </w:rPr>
              <w:t xml:space="preserve">0.85 (</w:t>
            </w:r>
            <m:oMath>
              <m:r>
                <m:t>p</m:t>
              </m:r>
              <m:r>
                <m:rPr>
                  <m:sty m:val="p"/>
                </m:rPr>
                <m:t>=</m:t>
              </m:r>
              <m:r>
                <m:t>0.0005</m:t>
              </m:r>
            </m:oMath>
            <w:r>
              <w:rPr>
                <w:sz w:val="17"/>
              </w:rPr>
              <w:t xml:space="preserve">)</w:t>
            </w:r>
          </w:p>
        </w:tc>
      </w:tr>
      <w:tr>
        <w:trPr>
          <w:cantSplit/>
        </w:trPr>
        <w:tc>
          <w:tcPr/>
          <w:p>
            <w:pPr>
              <w:pStyle w:val="Compact"/>
            </w:pPr>
            <w:r>
              <w:rPr>
                <w:sz w:val="17"/>
              </w:rPr>
              <w:t xml:space="preserve">Indicator DEff, MIT-BIH + PTB-XL</w:t>
            </w:r>
          </w:p>
        </w:tc>
        <w:tc>
          <w:tcPr/>
          <w:p>
            <w:pPr>
              <w:pStyle w:val="Compact"/>
              <w:jc w:val="right"/>
            </w:pPr>
            <w:r>
              <w:rPr>
                <w:sz w:val="17"/>
              </w:rPr>
              <w:t xml:space="preserve">12</w:t>
            </w:r>
          </w:p>
        </w:tc>
        <w:tc>
          <w:tcPr/>
          <w:p>
            <w:pPr>
              <w:pStyle w:val="Compact"/>
            </w:pPr>
            <w:r>
              <w:rPr>
                <w:sz w:val="17"/>
              </w:rPr>
              <w:t xml:space="preserve">0.90 (</w:t>
            </w:r>
            <m:oMath>
              <m:r>
                <m:t>p</m:t>
              </m:r>
              <m:r>
                <m:rPr>
                  <m:sty m:val="p"/>
                </m:rPr>
                <m:t>&lt;</m:t>
              </m:r>
              <m:r>
                <m:t>0.0001</m:t>
              </m:r>
            </m:oMath>
            <w:r>
              <w:rPr>
                <w:sz w:val="17"/>
              </w:rPr>
              <w:t xml:space="preserve">)</w:t>
            </w:r>
          </w:p>
        </w:tc>
        <w:tc>
          <w:tcPr/>
          <w:p>
            <w:pPr>
              <w:pStyle w:val="Compact"/>
            </w:pPr>
            <w:r>
              <w:rPr>
                <w:sz w:val="17"/>
              </w:rPr>
              <w:t xml:space="preserve">0.80 (</w:t>
            </w:r>
            <m:oMath>
              <m:r>
                <m:t>p</m:t>
              </m:r>
              <m:r>
                <m:rPr>
                  <m:sty m:val="p"/>
                </m:rPr>
                <m:t>=</m:t>
              </m:r>
              <m:r>
                <m:t>0.0016</m:t>
              </m:r>
            </m:oMath>
            <w:r>
              <w:rPr>
                <w:sz w:val="17"/>
              </w:rPr>
              <w:t xml:space="preserve">)</w:t>
            </w:r>
          </w:p>
        </w:tc>
        <w:tc>
          <w:tcPr/>
          <w:p>
            <w:pPr>
              <w:pStyle w:val="Compact"/>
            </w:pPr>
            <w:r>
              <w:rPr>
                <w:sz w:val="17"/>
              </w:rPr>
              <w:t xml:space="preserve">0.71 (</w:t>
            </w:r>
            <m:oMath>
              <m:r>
                <m:t>p</m:t>
              </m:r>
              <m:r>
                <m:rPr>
                  <m:sty m:val="p"/>
                </m:rPr>
                <m:t>=</m:t>
              </m:r>
              <m:r>
                <m:t>0.010</m:t>
              </m:r>
            </m:oMath>
            <w:r>
              <w:rPr>
                <w:sz w:val="17"/>
              </w:rPr>
              <w:t xml:space="preserve">)</w:t>
            </w:r>
          </w:p>
        </w:tc>
      </w:tr>
    </w:tbl>
    <w:p>
      <w:pPr>
        <w:pStyle w:val="BodyText"/>
        <w:jc w:val="both"/>
      </w:pPr>
      <w:r>
        <w:t xml:space="preserve">On the ICC axis alone PTB-XL does not fit: its patient-level ICC of 0.352 equals</w:t>
      </w:r>
      <w:r>
        <w:t xml:space="preserve"> </w:t>
      </w:r>
      <w:r>
        <w:t xml:space="preserve">that of a MIT-BIH point whose deficit is 0.35 pp, yet PTB-XL has none. The design</w:t>
      </w:r>
      <w:r>
        <w:t xml:space="preserve"> </w:t>
      </w:r>
      <w:r>
        <w:t xml:space="preserve">effect resolves the mismatch. With</w:t>
      </w:r>
      <w:r>
        <w:t xml:space="preserve"> </w:t>
      </w:r>
      <m:oMath>
        <m:r>
          <m:t>H</m:t>
        </m:r>
        <m:r>
          <m:rPr>
            <m:sty m:val="p"/>
          </m:rPr>
          <m:t>=</m:t>
        </m:r>
        <m:r>
          <m:t>1.05</m:t>
        </m:r>
      </m:oMath>
      <w:r>
        <w:t xml:space="preserve">, PTB-XL has a DEff of 1.02, compared</w:t>
      </w:r>
      <w:r>
        <w:t xml:space="preserve"> </w:t>
      </w:r>
      <w:r>
        <w:t xml:space="preserve">with 704 for intact MIT-BIH, and on this axis the combined correlation remains</w:t>
      </w:r>
      <w:r>
        <w:t xml:space="preserve"> </w:t>
      </w:r>
      <w:r>
        <w:t xml:space="preserve">positive (0.80–0.85); redoing the computation with the ICC of the coverage</w:t>
      </w:r>
      <w:r>
        <w:t xml:space="preserve"> </w:t>
      </w:r>
      <w:r>
        <w:t xml:space="preserve">indicator at a fixed threshold, the quantity that enters the variance of §3.2,</w:t>
      </w:r>
      <w:r>
        <w:t xml:space="preserve"> </w:t>
      </w:r>
      <w:r>
        <w:t xml:space="preserve">does not change the conclusion. DEff is used as a summary axis, not a sufficient</w:t>
      </w:r>
      <w:r>
        <w:t xml:space="preserve"> </w:t>
      </w:r>
      <w:r>
        <w:t xml:space="preserve">statistic; an exceedance-specific design effect is given in [40]. Fig. 7 shows</w:t>
      </w:r>
      <w:r>
        <w:t xml:space="preserve"> </w:t>
      </w:r>
      <w:r>
        <w:t xml:space="preserve">the deficit as a function of DEff: the MIT-BIH gradient carries the combined</w:t>
      </w:r>
      <w:r>
        <w:t xml:space="preserve"> </w:t>
      </w:r>
      <w:r>
        <w:t xml:space="preserve">correlation, while PTB-XL acts as a prediction check at the low-dependence end</w:t>
      </w:r>
      <w:r>
        <w:t xml:space="preserve"> </w:t>
      </w:r>
      <w:r>
        <w:t xml:space="preserve">rather than as an independent trend (§6.4), with deficits of −0.05, −0.12 and</w:t>
      </w:r>
      <w:r>
        <w:t xml:space="preserve"> </w:t>
      </w:r>
      <w:r>
        <w:t xml:space="preserve">−0.16 pp, that is, coverage slightly above nominal.</w:t>
      </w:r>
    </w:p>
    <w:p>
      <w:pPr>
        <w:pStyle w:val="CaptionedFigure"/>
        <w:jc w:val="both"/>
      </w:pPr>
      <w:r>
        <w:drawing>
          <wp:inline>
            <wp:extent cx="3108960" cy="2277948"/>
            <wp:effectExtent b="0" l="0" r="0" t="0"/>
            <wp:docPr descr="Fig. 7. B1 coverage deficit against the design effect. MIT-BIH points (blue) are obtained by randomly reassigning a growing fraction of beats to other records, with calibration records subsampled to a common size; PTB-XL (orange) is the observed patient partition with its Monte Carlo 95% interval. The annotation gives the Spearman correlation over the 12 points at \alpha=0.10, 0.15, 0.20." title="" id="46" name="Picture"/>
            <a:graphic>
              <a:graphicData uri="http://schemas.openxmlformats.org/drawingml/2006/picture">
                <pic:pic>
                  <pic:nvPicPr>
                    <pic:cNvPr descr="figures/fig7_dose_response.png" id="47" name="Picture"/>
                    <pic:cNvPicPr>
                      <a:picLocks noChangeArrowheads="1" noChangeAspect="1"/>
                    </pic:cNvPicPr>
                  </pic:nvPicPr>
                  <pic:blipFill>
                    <a:blip r:embed="rId45"/>
                    <a:stretch>
                      <a:fillRect/>
                    </a:stretch>
                  </pic:blipFill>
                  <pic:spPr bwMode="auto">
                    <a:xfrm>
                      <a:off x="0" y="0"/>
                      <a:ext cx="3108960" cy="2277948"/>
                    </a:xfrm>
                    <a:prstGeom prst="rect">
                      <a:avLst/>
                    </a:prstGeom>
                    <a:noFill/>
                    <a:ln w="9525">
                      <a:noFill/>
                      <a:headEnd/>
                      <a:tailEnd/>
                    </a:ln>
                  </pic:spPr>
                </pic:pic>
              </a:graphicData>
            </a:graphic>
          </wp:inline>
        </w:drawing>
      </w:r>
    </w:p>
    <w:p>
      <w:pPr>
        <w:pStyle w:val="ImageCaption"/>
        <w:jc w:val="both"/>
      </w:pPr>
      <w:r>
        <w:t xml:space="preserve">Fig. 7. B1 coverage deficit against the design effect. MIT-BIH points (blue) are obtained by randomly reassigning a growing fraction of beats to other records, with calibration records subsampled to a common size; PTB-XL (orange) is the observed patient partition with its Monte Carlo 95% interval. The annotation gives the Spearman correlation over the 12 points at</w:t>
      </w:r>
      <w:r>
        <w:t xml:space="preserve"> </w:t>
      </w:r>
      <m:oMath>
        <m:r>
          <m:t>α</m:t>
        </m:r>
        <m:r>
          <m:rPr>
            <m:sty m:val="p"/>
          </m:rPr>
          <m:t>=</m:t>
        </m:r>
        <m:r>
          <m:t>0.10</m:t>
        </m:r>
        <m:r>
          <m:rPr>
            <m:sty m:val="p"/>
          </m:rPr>
          <m:t>,</m:t>
        </m:r>
        <m:r>
          <m:t>0.15</m:t>
        </m:r>
        <m:r>
          <m:rPr>
            <m:sty m:val="p"/>
          </m:rPr>
          <m:t>,</m:t>
        </m:r>
        <m:r>
          <m:t>0.20</m:t>
        </m:r>
      </m:oMath>
      <w:r>
        <w:t xml:space="preserve">.</w:t>
      </w:r>
    </w:p>
    <w:bookmarkEnd w:id="48"/>
    <w:bookmarkStart w:id="52" w:name="robustness-to-backbone-and-checkpoint"/>
    <w:p>
      <w:pPr>
        <w:pStyle w:val="Heading2"/>
      </w:pPr>
      <w:r>
        <w:t xml:space="preserve">5.5 Robustness to backbone and checkpoint</w:t>
      </w:r>
    </w:p>
    <w:p>
      <w:pPr>
        <w:pStyle w:val="FirstParagraph"/>
        <w:jc w:val="both"/>
      </w:pPr>
      <w:r>
        <w:rPr>
          <w:b/>
          <w:bCs/>
        </w:rPr>
        <w:t xml:space="preserve">Backbone.</w:t>
      </w:r>
      <w:r>
        <w:t xml:space="preserve"> </w:t>
      </w:r>
      <w:r>
        <w:t xml:space="preserve">The two residual networks, with about 70 and 155 times as many</w:t>
      </w:r>
      <w:r>
        <w:t xml:space="preserve"> </w:t>
      </w:r>
      <w:r>
        <w:t xml:space="preserve">parameters, improved discrimination only unevenly: MIT-BIH balanced accuracy</w:t>
      </w:r>
      <w:r>
        <w:t xml:space="preserve"> </w:t>
      </w:r>
      <w:r>
        <w:t xml:space="preserve">stayed between 0.370 and 0.376, and PTB-XL macro-AUROC dropped slightly. As the</w:t>
      </w:r>
      <w:r>
        <w:t xml:space="preserve"> </w:t>
      </w:r>
      <w:r>
        <w:t xml:space="preserve">negative control requires,</w:t>
      </w:r>
      <w:r>
        <w:t xml:space="preserve"> </w:t>
      </w:r>
      <m:oMath>
        <m:sSub>
          <m:e>
            <m:r>
              <m:t>K</m:t>
            </m:r>
          </m:e>
          <m:sub>
            <m:r>
              <m:t>1</m:t>
            </m:r>
          </m:sub>
        </m:sSub>
        <m:r>
          <m:rPr>
            <m:sty m:val="p"/>
          </m:rPr>
          <m:t>(</m:t>
        </m:r>
        <m:r>
          <m:t>ℓ</m:t>
        </m:r>
        <m:r>
          <m:rPr>
            <m:sty m:val="p"/>
          </m:rPr>
          <m:t>)</m:t>
        </m:r>
      </m:oMath>
      <w:r>
        <w:t xml:space="preserve"> </w:t>
      </w:r>
      <w:r>
        <w:t xml:space="preserve">did not change across backbones on either</w:t>
      </w:r>
      <w:r>
        <w:t xml:space="preserve"> </w:t>
      </w:r>
      <w:r>
        <w:t xml:space="preserve">dataset. Table VIII sets out the discrimination of all three backbones.</w:t>
      </w:r>
    </w:p>
    <w:p>
      <w:pPr>
        <w:pStyle w:val="BodyText"/>
        <w:keepNext/>
        <w:spacing w:before="160"/>
        <w:jc w:val="center"/>
      </w:pPr>
      <w:r/>
      <w:r>
        <w:rPr>
          <w:sz w:val="18"/>
        </w:rPr>
        <w:t>TABLE VIII</w:t>
      </w:r>
      <w:r>
        <w:br/>
      </w:r>
      <w:r>
        <w:rPr>
          <w:sz w:val="16"/>
        </w:rPr>
        <w:t>DISCRIMINATION BY BACKBONE.</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1320"/>
        <w:gridCol w:w="1320"/>
        <w:gridCol w:w="1760"/>
        <w:gridCol w:w="1760"/>
        <w:gridCol w:w="1760"/>
      </w:tblGrid>
      <w:tr>
        <w:trPr>
          <w:tblHeader w:val="on"/>
          <w:cantSplit/>
        </w:trPr>
        <w:tc>
          <w:tcPr/>
          <w:p>
            <w:pPr>
              <w:pStyle w:val="Compact"/>
              <w:keepNext/>
            </w:pPr>
            <w:r>
              <w:rPr>
                <w:b/>
                <w:sz w:val="17"/>
              </w:rPr>
              <w:t xml:space="preserve">Backbone</w:t>
            </w:r>
          </w:p>
        </w:tc>
        <w:tc>
          <w:tcPr/>
          <w:p>
            <w:pPr>
              <w:pStyle w:val="Compact"/>
              <w:keepNext/>
            </w:pPr>
            <w:r>
              <w:rPr>
                <w:b/>
                <w:sz w:val="17"/>
              </w:rPr>
              <w:t xml:space="preserve">Parameters (MIT-BIH / PTB-XL)</w:t>
            </w:r>
          </w:p>
        </w:tc>
        <w:tc>
          <w:tcPr/>
          <w:p>
            <w:pPr>
              <w:pStyle w:val="Compact"/>
              <w:keepNext/>
              <w:jc w:val="right"/>
            </w:pPr>
            <w:r>
              <w:rPr>
                <w:b/>
                <w:sz w:val="17"/>
              </w:rPr>
              <w:t xml:space="preserve">MIT-BIH accuracy</w:t>
            </w:r>
          </w:p>
        </w:tc>
        <w:tc>
          <w:tcPr/>
          <w:p>
            <w:pPr>
              <w:pStyle w:val="Compact"/>
              <w:keepNext/>
              <w:jc w:val="right"/>
            </w:pPr>
            <w:r>
              <w:rPr>
                <w:b/>
                <w:sz w:val="17"/>
              </w:rPr>
              <w:t xml:space="preserve">MIT-BIH balanced acc.</w:t>
            </w:r>
          </w:p>
        </w:tc>
        <w:tc>
          <w:tcPr/>
          <w:p>
            <w:pPr>
              <w:pStyle w:val="Compact"/>
              <w:keepNext/>
              <w:jc w:val="right"/>
            </w:pPr>
            <w:r>
              <w:rPr>
                <w:b/>
                <w:sz w:val="17"/>
              </w:rPr>
              <w:t xml:space="preserve">PTB-XL macro-AUROC</w:t>
            </w:r>
          </w:p>
        </w:tc>
      </w:tr>
      <w:tr>
        <w:trPr>
          <w:cantSplit/>
        </w:trPr>
        <w:tc>
          <w:tcPr/>
          <w:p>
            <w:pPr>
              <w:pStyle w:val="Compact"/>
              <w:keepNext/>
            </w:pPr>
            <w:r>
              <w:rPr>
                <w:sz w:val="17"/>
              </w:rPr>
              <w:t xml:space="preserve">SmallECGNet</w:t>
            </w:r>
          </w:p>
        </w:tc>
        <w:tc>
          <w:tcPr/>
          <w:p>
            <w:pPr>
              <w:pStyle w:val="Compact"/>
              <w:keepNext/>
            </w:pPr>
            <w:r>
              <w:rPr>
                <w:sz w:val="17"/>
              </w:rPr>
              <w:t xml:space="preserve">101,925 / 104,389</w:t>
            </w:r>
          </w:p>
        </w:tc>
        <w:tc>
          <w:tcPr/>
          <w:p>
            <w:pPr>
              <w:pStyle w:val="Compact"/>
              <w:keepNext/>
              <w:jc w:val="right"/>
            </w:pPr>
            <w:r>
              <w:rPr>
                <w:sz w:val="17"/>
              </w:rPr>
              <w:t xml:space="preserve">0.869</w:t>
            </w:r>
          </w:p>
        </w:tc>
        <w:tc>
          <w:tcPr/>
          <w:p>
            <w:pPr>
              <w:pStyle w:val="Compact"/>
              <w:keepNext/>
              <w:jc w:val="right"/>
            </w:pPr>
            <w:r>
              <w:rPr>
                <w:sz w:val="17"/>
              </w:rPr>
              <w:t xml:space="preserve">0.375</w:t>
            </w:r>
          </w:p>
        </w:tc>
        <w:tc>
          <w:tcPr/>
          <w:p>
            <w:pPr>
              <w:pStyle w:val="Compact"/>
              <w:keepNext/>
              <w:jc w:val="right"/>
            </w:pPr>
            <w:r>
              <w:rPr>
                <w:sz w:val="17"/>
              </w:rPr>
              <w:t xml:space="preserve">0.902</w:t>
            </w:r>
          </w:p>
        </w:tc>
      </w:tr>
      <w:tr>
        <w:trPr>
          <w:cantSplit/>
        </w:trPr>
        <w:tc>
          <w:tcPr/>
          <w:p>
            <w:pPr>
              <w:pStyle w:val="Compact"/>
              <w:keepNext/>
            </w:pPr>
            <w:r>
              <w:rPr>
                <w:sz w:val="17"/>
              </w:rPr>
              <w:t xml:space="preserve">ResNet1D-34</w:t>
            </w:r>
          </w:p>
        </w:tc>
        <w:tc>
          <w:tcPr/>
          <w:p>
            <w:pPr>
              <w:pStyle w:val="Compact"/>
              <w:keepNext/>
            </w:pPr>
            <w:r>
              <w:rPr>
                <w:sz w:val="17"/>
              </w:rPr>
              <w:t xml:space="preserve">7,220,805 / 7,225,733</w:t>
            </w:r>
          </w:p>
        </w:tc>
        <w:tc>
          <w:tcPr/>
          <w:p>
            <w:pPr>
              <w:pStyle w:val="Compact"/>
              <w:keepNext/>
              <w:jc w:val="right"/>
            </w:pPr>
            <w:r>
              <w:rPr>
                <w:sz w:val="17"/>
              </w:rPr>
              <w:t xml:space="preserve">0.922</w:t>
            </w:r>
          </w:p>
        </w:tc>
        <w:tc>
          <w:tcPr/>
          <w:p>
            <w:pPr>
              <w:pStyle w:val="Compact"/>
              <w:keepNext/>
              <w:jc w:val="right"/>
            </w:pPr>
            <w:r>
              <w:rPr>
                <w:sz w:val="17"/>
              </w:rPr>
              <w:t xml:space="preserve">0.376</w:t>
            </w:r>
          </w:p>
        </w:tc>
        <w:tc>
          <w:tcPr/>
          <w:p>
            <w:pPr>
              <w:pStyle w:val="Compact"/>
              <w:keepNext/>
              <w:jc w:val="right"/>
            </w:pPr>
            <w:r>
              <w:rPr>
                <w:sz w:val="17"/>
              </w:rPr>
              <w:t xml:space="preserve">0.897</w:t>
            </w:r>
          </w:p>
        </w:tc>
      </w:tr>
      <w:tr>
        <w:trPr>
          <w:cantSplit/>
        </w:trPr>
        <w:tc>
          <w:tcPr/>
          <w:p>
            <w:pPr>
              <w:pStyle w:val="Compact"/>
            </w:pPr>
            <w:r>
              <w:rPr>
                <w:sz w:val="17"/>
              </w:rPr>
              <w:t xml:space="preserve">ResNet1D-50</w:t>
            </w:r>
          </w:p>
        </w:tc>
        <w:tc>
          <w:tcPr/>
          <w:p>
            <w:pPr>
              <w:pStyle w:val="Compact"/>
            </w:pPr>
            <w:r>
              <w:rPr>
                <w:sz w:val="17"/>
              </w:rPr>
              <w:t xml:space="preserve">15,964,485 / 15,969,413</w:t>
            </w:r>
          </w:p>
        </w:tc>
        <w:tc>
          <w:tcPr/>
          <w:p>
            <w:pPr>
              <w:pStyle w:val="Compact"/>
              <w:jc w:val="right"/>
            </w:pPr>
            <w:r>
              <w:rPr>
                <w:sz w:val="17"/>
              </w:rPr>
              <w:t xml:space="preserve">0.926</w:t>
            </w:r>
          </w:p>
        </w:tc>
        <w:tc>
          <w:tcPr/>
          <w:p>
            <w:pPr>
              <w:pStyle w:val="Compact"/>
              <w:jc w:val="right"/>
            </w:pPr>
            <w:r>
              <w:rPr>
                <w:sz w:val="17"/>
              </w:rPr>
              <w:t xml:space="preserve">0.370</w:t>
            </w:r>
          </w:p>
        </w:tc>
        <w:tc>
          <w:tcPr/>
          <w:p>
            <w:pPr>
              <w:pStyle w:val="Compact"/>
              <w:jc w:val="right"/>
            </w:pPr>
            <w:r>
              <w:rPr>
                <w:sz w:val="17"/>
              </w:rPr>
              <w:t xml:space="preserve">0.896</w:t>
            </w:r>
          </w:p>
        </w:tc>
      </w:tr>
    </w:tbl>
    <w:p>
      <w:pPr>
        <w:pStyle w:val="BodyText"/>
        <w:jc w:val="both"/>
      </w:pPr>
      <w:r>
        <w:t xml:space="preserve">On PTB-XL, B1 reached nominal coverage in all 9 backbone×</w:t>
      </w:r>
      <m:oMath>
        <m:r>
          <m:t>α</m:t>
        </m:r>
      </m:oMath>
      <w:r>
        <w:t xml:space="preserve"> </w:t>
      </w:r>
      <w:r>
        <w:t xml:space="preserve">cells, with mean</w:t>
      </w:r>
      <w:r>
        <w:t xml:space="preserve"> </w:t>
      </w:r>
      <w:r>
        <w:t xml:space="preserve">coverage 0.05–0.19 pp above nominal. On MIT-BIH the deficit against the</w:t>
      </w:r>
      <w:r>
        <w:t xml:space="preserve"> </w:t>
      </w:r>
      <w:r>
        <w:t xml:space="preserve">permutation null is positive in all 9 backbone×</w:t>
      </w:r>
      <m:oMath>
        <m:r>
          <m:t>α</m:t>
        </m:r>
      </m:oMath>
      <w:r>
        <w:t xml:space="preserve"> </w:t>
      </w:r>
      <w:r>
        <w:t xml:space="preserve">cells (Table VI). Its</w:t>
      </w:r>
      <w:r>
        <w:t xml:space="preserve"> </w:t>
      </w:r>
      <w:r>
        <w:t xml:space="preserve">Monte Carlo interval excludes zero in 7 of them, the exceptions being ResNet1D-34</w:t>
      </w:r>
      <w:r>
        <w:t xml:space="preserve"> </w:t>
      </w:r>
      <w:r>
        <w:t xml:space="preserve">at</w:t>
      </w:r>
      <w:r>
        <w:t xml:space="preserve"> </w:t>
      </w:r>
      <m:oMath>
        <m:r>
          <m:t>α</m:t>
        </m:r>
        <m:r>
          <m:rPr>
            <m:sty m:val="p"/>
          </m:rPr>
          <m:t>=</m:t>
        </m:r>
        <m:r>
          <m:t>0.15</m:t>
        </m:r>
      </m:oMath>
      <w:r>
        <w:t xml:space="preserve"> </w:t>
      </w:r>
      <w:r>
        <w:t xml:space="preserve">and</w:t>
      </w:r>
      <w:r>
        <w:t xml:space="preserve"> </w:t>
      </w:r>
      <m:oMath>
        <m:r>
          <m:t>0.20</m:t>
        </m:r>
      </m:oMath>
      <w:r>
        <w:t xml:space="preserve">, where the deficit is smallest (0.81–1.02 pp); at the</w:t>
      </w:r>
      <w:r>
        <w:t xml:space="preserve"> </w:t>
      </w:r>
      <w:r>
        <w:t xml:space="preserve">record level no cell excludes zero. Across the three backbones the mechanical</w:t>
      </w:r>
      <w:r>
        <w:t xml:space="preserve"> </w:t>
      </w:r>
      <w:r>
        <w:t xml:space="preserve">share of the B12−B1 gap ranged from 75% to 110%.</w:t>
      </w:r>
    </w:p>
    <w:p>
      <w:pPr>
        <w:pStyle w:val="BodyText"/>
        <w:jc w:val="both"/>
      </w:pPr>
      <w:r>
        <w:rPr>
          <w:b/>
          <w:bCs/>
        </w:rPr>
        <w:t xml:space="preserve">Checkpoint.</w:t>
      </w:r>
      <w:r>
        <w:t xml:space="preserve"> </w:t>
      </w:r>
      <w:r>
        <w:t xml:space="preserve">With only 4 validation records on MIT-BIH, early stopping picked</w:t>
      </w:r>
      <w:r>
        <w:t xml:space="preserve"> </w:t>
      </w:r>
      <w:r>
        <w:t xml:space="preserve">epoch 1 for ResNet1D-50. A sensitivity analysis therefore reran</w:t>
      </w:r>
      <w:r>
        <w:t xml:space="preserve"> </w:t>
      </w:r>
      <w:r>
        <w:t xml:space="preserve">the audit with last-epoch weights for both residual networks on both datasets</w:t>
      </w:r>
      <w:r>
        <w:t xml:space="preserve"> </w:t>
      </w:r>
      <w:r>
        <w:t xml:space="preserve">(MIT-BIH epochs 13 vs. 8 and 6 vs. 1; PTB-XL 14 vs. 9 and 12 vs. 7). In all 16</w:t>
      </w:r>
      <w:r>
        <w:t xml:space="preserve"> </w:t>
      </w:r>
      <w:r>
        <w:t xml:space="preserve">backbone×dataset×</w:t>
      </w:r>
      <m:oMath>
        <m:r>
          <m:t>α</m:t>
        </m:r>
      </m:oMath>
      <w:r>
        <w:t xml:space="preserve"> </w:t>
      </w:r>
      <w:r>
        <w:t xml:space="preserve">cells the B1 deficit kept its sign and</w:t>
      </w:r>
      <w:r>
        <w:t xml:space="preserve"> </w:t>
      </w:r>
      <m:oMath>
        <m:sSub>
          <m:e>
            <m:r>
              <m:t>K</m:t>
            </m:r>
          </m:e>
          <m:sub>
            <m:r>
              <m:t>1</m:t>
            </m:r>
          </m:sub>
        </m:sSub>
        <m:r>
          <m:rPr>
            <m:sty m:val="p"/>
          </m:rPr>
          <m:t>(</m:t>
        </m:r>
        <m:r>
          <m:t>ℓ</m:t>
        </m:r>
        <m:r>
          <m:rPr>
            <m:sty m:val="p"/>
          </m:rPr>
          <m:t>)</m:t>
        </m:r>
      </m:oMath>
      <w:r>
        <w:t xml:space="preserve"> </w:t>
      </w:r>
      <w:r>
        <w:t xml:space="preserve">was</w:t>
      </w:r>
      <w:r>
        <w:t xml:space="preserve"> </w:t>
      </w:r>
      <w:r>
        <w:t xml:space="preserve">unchanged, but on MIT-BIH its magnitude shifted by as much as 1.8 pp, enough to</w:t>
      </w:r>
      <w:r>
        <w:t xml:space="preserve"> </w:t>
      </w:r>
      <w:r>
        <w:t xml:space="preserve">change the ordering of the backbones, so differences in deficit size between</w:t>
      </w:r>
      <w:r>
        <w:t xml:space="preserve"> </w:t>
      </w:r>
      <w:r>
        <w:t xml:space="preserve">backbones are not interpreted. Fig. 8 summarizes both robustness checks. Panel</w:t>
      </w:r>
      <w:r>
        <w:t xml:space="preserve"> </w:t>
      </w:r>
      <w:r>
        <w:t xml:space="preserve">(a) sets the Monte Carlo intervals of Table VI against the record-level</w:t>
      </w:r>
      <w:r>
        <w:t xml:space="preserve"> </w:t>
      </w:r>
      <w:r>
        <w:t xml:space="preserve">intervals: the direction holds for every backbone, but only the narrower,</w:t>
      </w:r>
      <w:r>
        <w:t xml:space="preserve"> </w:t>
      </w:r>
      <w:r>
        <w:t xml:space="preserve">conditional intervals exclude zero. Panel (b) plots each cell under the two</w:t>
      </w:r>
      <w:r>
        <w:t xml:space="preserve"> </w:t>
      </w:r>
      <w:r>
        <w:t xml:space="preserve">checkpoints, and every point stays in the quadrant of its original sign.</w:t>
      </w:r>
    </w:p>
    <w:p>
      <w:pPr>
        <w:pStyle w:val="CaptionedFigure"/>
        <w:jc w:val="both"/>
      </w:pPr>
      <w:r>
        <w:drawing>
          <wp:inline>
            <wp:extent cx="5334000" cy="1775293"/>
            <wp:effectExtent b="0" l="0" r="0" t="0"/>
            <wp:docPr descr="Fig. 8. Robustness of the audit. (a) MIT-BIH B1 coverage deficit against the matched permutation null, by backbone and \alpha: point estimate with Monte Carlo 95% interval over 200 splits of the 22 DS2 records (open markers include zero), and record-level 95% CI from the leave-one-record-out jackknife (light bars). (b) B1 coverage minus nominal under best-validation (horizontal) and last-epoch (vertical) weights for the two residual networks, 16 backbone×dataset×\alpha cells; shaded quadrants mark agreement in sign and the dotted line marks equality." title="" id="50" name="Picture"/>
            <a:graphic>
              <a:graphicData uri="http://schemas.openxmlformats.org/drawingml/2006/picture">
                <pic:pic>
                  <pic:nvPicPr>
                    <pic:cNvPr descr="figures/fig8_robustness.png" id="51" name="Picture"/>
                    <pic:cNvPicPr>
                      <a:picLocks noChangeArrowheads="1" noChangeAspect="1"/>
                    </pic:cNvPicPr>
                  </pic:nvPicPr>
                  <pic:blipFill>
                    <a:blip r:embed="rId49"/>
                    <a:stretch>
                      <a:fillRect/>
                    </a:stretch>
                  </pic:blipFill>
                  <pic:spPr bwMode="auto">
                    <a:xfrm>
                      <a:off x="0" y="0"/>
                      <a:ext cx="5334000" cy="1775293"/>
                    </a:xfrm>
                    <a:prstGeom prst="rect">
                      <a:avLst/>
                    </a:prstGeom>
                    <a:noFill/>
                    <a:ln w="9525">
                      <a:noFill/>
                      <a:headEnd/>
                      <a:tailEnd/>
                    </a:ln>
                  </pic:spPr>
                </pic:pic>
              </a:graphicData>
            </a:graphic>
          </wp:inline>
        </w:drawing>
      </w:r>
    </w:p>
    <w:p>
      <w:pPr>
        <w:pStyle w:val="ImageCaption"/>
        <w:jc w:val="both"/>
      </w:pPr>
      <w:r>
        <w:t xml:space="preserve">Fig. 8. Robustness of the audit. (a) MIT-BIH B1 coverage deficit against the matched permutation null, by backbone and</w:t>
      </w:r>
      <w:r>
        <w:t xml:space="preserve"> </w:t>
      </w:r>
      <m:oMath>
        <m:r>
          <m:t>α</m:t>
        </m:r>
      </m:oMath>
      <w:r>
        <w:t xml:space="preserve">: point estimate with Monte Carlo 95% interval over 200 splits of the 22 DS2 records (open markers include zero), and record-level 95% CI from the leave-one-record-out jackknife (light bars). (b) B1 coverage minus nominal under best-validation (horizontal) and last-epoch (vertical) weights for the two residual networks, 16 backbone×dataset×</w:t>
      </w:r>
      <m:oMath>
        <m:r>
          <m:t>α</m:t>
        </m:r>
      </m:oMath>
      <w:r>
        <w:t xml:space="preserve"> </w:t>
      </w:r>
      <w:r>
        <w:t xml:space="preserve">cells; shaded quadrants mark agreement in sign and the dotted line marks equality.</w:t>
      </w:r>
    </w:p>
    <w:bookmarkEnd w:id="52"/>
    <w:bookmarkEnd w:id="53"/>
    <w:bookmarkStart w:id="58" w:name="discussion"/>
    <w:p>
      <w:pPr>
        <w:pStyle w:val="Heading1"/>
      </w:pPr>
      <w:r>
        <w:t xml:space="preserve">6. Discussion</w:t>
      </w:r>
    </w:p>
    <w:bookmarkStart w:id="54" w:name="main-findings"/>
    <w:p>
      <w:pPr>
        <w:pStyle w:val="Heading2"/>
      </w:pPr>
      <w:r>
        <w:t xml:space="preserve">6.1 Main findings</w:t>
      </w:r>
    </w:p>
    <w:p>
      <w:pPr>
        <w:pStyle w:val="FirstParagraph"/>
        <w:jc w:val="both"/>
      </w:pPr>
      <w:r>
        <w:t xml:space="preserve">This audit keeps apart two questions that are usually conflated: can a</w:t>
      </w:r>
      <w:r>
        <w:t xml:space="preserve"> </w:t>
      </w:r>
      <w:r>
        <w:t xml:space="preserve">block-level coverage guarantee be</w:t>
      </w:r>
      <w:r>
        <w:t xml:space="preserve"> </w:t>
      </w:r>
      <w:r>
        <w:rPr>
          <w:i/>
          <w:iCs/>
        </w:rPr>
        <w:t xml:space="preserve">enforced</w:t>
      </w:r>
      <w:r>
        <w:t xml:space="preserve"> </w:t>
      </w:r>
      <w:r>
        <w:t xml:space="preserve">on a clinical dataset, and does</w:t>
      </w:r>
      <w:r>
        <w:t xml:space="preserve"> </w:t>
      </w:r>
      <w:r>
        <w:t xml:space="preserve">ignoring block structure</w:t>
      </w:r>
      <w:r>
        <w:t xml:space="preserve"> </w:t>
      </w:r>
      <w:r>
        <w:rPr>
          <w:i/>
          <w:iCs/>
        </w:rPr>
        <w:t xml:space="preserve">cost</w:t>
      </w:r>
      <w:r>
        <w:t xml:space="preserve"> </w:t>
      </w:r>
      <w:r>
        <w:t xml:space="preserve">coverage when it is not enforced? The first is</w:t>
      </w:r>
      <w:r>
        <w:t xml:space="preserve"> </w:t>
      </w:r>
      <w:r>
        <w:t xml:space="preserve">combinatorial and is answered from metadata. On the resources audited here the</w:t>
      </w:r>
      <w:r>
        <w:t xml:space="preserve"> </w:t>
      </w:r>
      <w:r>
        <w:t xml:space="preserve">answer is more restrictive than their size would suggest, because declared</w:t>
      </w:r>
      <w:r>
        <w:t xml:space="preserve"> </w:t>
      </w:r>
      <w:r>
        <w:t xml:space="preserve">sources collapse under the join and rare labels are spread over few patients</w:t>
      </w:r>
      <w:r>
        <w:t xml:space="preserve"> </w:t>
      </w:r>
      <w:r>
        <w:t xml:space="preserve">(§5.1).</w:t>
      </w:r>
      <w:r>
        <w:t xml:space="preserve"> </w:t>
      </w:r>
      <w:r>
        <w:t xml:space="preserve">Proposition 1 gives a direct illustration: dividing the 22 evaluation subjects of</w:t>
      </w:r>
      <w:r>
        <w:t xml:space="preserve"> </w:t>
      </w:r>
      <w:r>
        <w:t xml:space="preserve">the canonical MIT-BIH partition equally between calibration and test leaves</w:t>
      </w:r>
      <w:r>
        <w:t xml:space="preserve"> </w:t>
      </w:r>
      <m:oMath>
        <m:sSub>
          <m:e>
            <m:r>
              <m:t>K</m:t>
            </m:r>
          </m:e>
          <m:sub>
            <m:r>
              <m:t>1</m:t>
            </m:r>
          </m:sub>
        </m:sSub>
        <m:r>
          <m:rPr>
            <m:sty m:val="p"/>
          </m:rPr>
          <m:t>=</m:t>
        </m:r>
        <m:r>
          <m:t>11</m:t>
        </m:r>
      </m:oMath>
      <w:r>
        <w:t xml:space="preserve">, which rules out a subject-level guarantee at the 95% level for this</w:t>
      </w:r>
      <w:r>
        <w:t xml:space="preserve"> </w:t>
      </w:r>
      <w:r>
        <w:t xml:space="preserve">design regardless of the model or of how many beats each record holds.</w:t>
      </w:r>
    </w:p>
    <w:p>
      <w:pPr>
        <w:pStyle w:val="BodyText"/>
        <w:jc w:val="both"/>
      </w:pPr>
      <w:r>
        <w:t xml:space="preserve">The second question is statistical, and its answer turns on how many repeats the</w:t>
      </w:r>
      <w:r>
        <w:t xml:space="preserve"> </w:t>
      </w:r>
      <w:r>
        <w:t xml:space="preserve">blocks contain rather than on how strongly observations within them are</w:t>
      </w:r>
      <w:r>
        <w:t xml:space="preserve"> </w:t>
      </w:r>
      <w:r>
        <w:t xml:space="preserve">correlated (§5.3–§5.4). PTB-XL makes the point most clearly. Its within-patient</w:t>
      </w:r>
      <w:r>
        <w:t xml:space="preserve"> </w:t>
      </w:r>
      <w:r>
        <w:t xml:space="preserve">correlation would seem to call for block-level calibration, yet with</w:t>
      </w:r>
      <w:r>
        <w:t xml:space="preserve"> </w:t>
      </w:r>
      <m:oMath>
        <m:r>
          <m:t>H</m:t>
        </m:r>
        <m:r>
          <m:rPr>
            <m:sty m:val="p"/>
          </m:rPr>
          <m:t>=</m:t>
        </m:r>
        <m:r>
          <m:t>1.05</m:t>
        </m:r>
      </m:oMath>
      <w:r>
        <w:t xml:space="preserve"> </w:t>
      </w:r>
      <w:r>
        <w:t xml:space="preserve">the</w:t>
      </w:r>
      <w:r>
        <w:t xml:space="preserve"> </w:t>
      </w:r>
      <w:r>
        <w:t xml:space="preserve">factor</w:t>
      </w:r>
      <w:r>
        <w:t xml:space="preserve"> </w:t>
      </w:r>
      <m:oMath>
        <m:r>
          <m:t>1</m:t>
        </m:r>
        <m:r>
          <m:rPr>
            <m:sty m:val="p"/>
          </m:rPr>
          <m:t>+</m:t>
        </m:r>
        <m:r>
          <m:rPr>
            <m:sty m:val="p"/>
          </m:rPr>
          <m:t>(</m:t>
        </m:r>
        <m:r>
          <m:t>H</m:t>
        </m:r>
        <m:r>
          <m:rPr>
            <m:sty m:val="p"/>
          </m:rPr>
          <m:t>−</m:t>
        </m:r>
        <m:r>
          <m:t>1</m:t>
        </m:r>
        <m:r>
          <m:rPr>
            <m:sty m:val="p"/>
          </m:rPr>
          <m:t>)</m:t>
        </m:r>
        <m:r>
          <m:t>ρ</m:t>
        </m:r>
      </m:oMath>
      <w:r>
        <w:t xml:space="preserve"> </w:t>
      </w:r>
      <w:r>
        <w:t xml:space="preserve">stays close to 1 for any</w:t>
      </w:r>
      <w:r>
        <w:t xml:space="preserve"> </w:t>
      </w:r>
      <m:oMath>
        <m:r>
          <m:t>ρ</m:t>
        </m:r>
      </m:oMath>
      <w:r>
        <w:t xml:space="preserve">, and counting repeats shows,</w:t>
      </w:r>
      <w:r>
        <w:t xml:space="preserve"> </w:t>
      </w:r>
      <w:r>
        <w:t xml:space="preserve">correctly for marginal coverage at these levels, that such calibration is</w:t>
      </w:r>
      <w:r>
        <w:t xml:space="preserve"> </w:t>
      </w:r>
      <w:r>
        <w:t xml:space="preserve">unnecessary. Both quantities should therefore be reported, and neither belongs to</w:t>
      </w:r>
      <w:r>
        <w:t xml:space="preserve"> </w:t>
      </w:r>
      <w:r>
        <w:t xml:space="preserve">the dataset alone, since</w:t>
      </w:r>
      <w:r>
        <w:t xml:space="preserve"> </w:t>
      </w:r>
      <m:oMath>
        <m:sSub>
          <m:e>
            <m:r>
              <m:t>K</m:t>
            </m:r>
          </m:e>
          <m:sub>
            <m:r>
              <m:t>1</m:t>
            </m:r>
          </m:sub>
        </m:sSub>
      </m:oMath>
      <w:r>
        <w:t xml:space="preserve"> </w:t>
      </w:r>
      <w:r>
        <w:t xml:space="preserve">depends on the split design and</w:t>
      </w:r>
      <w:r>
        <w:t xml:space="preserve"> </w:t>
      </w:r>
      <m:oMath>
        <m:r>
          <m:t>ρ</m:t>
        </m:r>
      </m:oMath>
      <w:r>
        <w:t xml:space="preserve"> </w:t>
      </w:r>
      <w:r>
        <w:t xml:space="preserve">on the model</w:t>
      </w:r>
      <w:r>
        <w:t xml:space="preserve"> </w:t>
      </w:r>
      <w:r>
        <w:t xml:space="preserve">that produced the scores (§4.1). The design effect is used here purely as an</w:t>
      </w:r>
      <w:r>
        <w:t xml:space="preserve"> </w:t>
      </w:r>
      <w:r>
        <w:t xml:space="preserve">ordering axis, a heuristic under a compound-symmetric model (§3.2); a principled</w:t>
      </w:r>
      <w:r>
        <w:t xml:space="preserve"> </w:t>
      </w:r>
      <w:r>
        <w:t xml:space="preserve">effective sample size for thresholds under clustering is derived in [40]. The two</w:t>
      </w:r>
      <w:r>
        <w:t xml:space="preserve"> </w:t>
      </w:r>
      <w:r>
        <w:t xml:space="preserve">questions also meet. On MIT-BIH the deficit is consistent in sign across</w:t>
      </w:r>
      <w:r>
        <w:t xml:space="preserve"> </w:t>
      </w:r>
      <w:r>
        <w:t xml:space="preserve">backbones, levels and splits of the 22 evaluation subjects, yet a jackknife over</w:t>
      </w:r>
      <w:r>
        <w:t xml:space="preserve"> </w:t>
      </w:r>
      <w:r>
        <w:t xml:space="preserve">those subjects cannot resolve it (§5.3): the scarcity of blocks that bounds the</w:t>
      </w:r>
      <w:r>
        <w:t xml:space="preserve"> </w:t>
      </w:r>
      <w:r>
        <w:t xml:space="preserve">guarantee also bounds what an audit of the same subjects can establish about</w:t>
      </w:r>
      <w:r>
        <w:t xml:space="preserve"> </w:t>
      </w:r>
      <w:r>
        <w:t xml:space="preserve">coverage loss.</w:t>
      </w:r>
    </w:p>
    <w:bookmarkEnd w:id="54"/>
    <w:bookmarkStart w:id="55" w:name="X10a21a4c9ffce0be86017eff986db914a5bca64"/>
    <w:p>
      <w:pPr>
        <w:pStyle w:val="Heading2"/>
      </w:pPr>
      <w:r>
        <w:t xml:space="preserve">6.2 Two pitfalls in evaluating conformal methods on clustered data</w:t>
      </w:r>
    </w:p>
    <w:p>
      <w:pPr>
        <w:pStyle w:val="FirstParagraph"/>
        <w:jc w:val="both"/>
      </w:pPr>
      <w:r>
        <w:t xml:space="preserve">The lesson that travels furthest concerns evaluation, not ECG. Applied to the</w:t>
      </w:r>
      <w:r>
        <w:t xml:space="preserve"> </w:t>
      </w:r>
      <w:r>
        <w:t xml:space="preserve">same data, HCP seems to</w:t>
      </w:r>
      <w:r>
        <w:t xml:space="preserve"> </w:t>
      </w:r>
      <w:r>
        <w:t xml:space="preserve">“restore”</w:t>
      </w:r>
      <w:r>
        <w:t xml:space="preserve"> </w:t>
      </w:r>
      <w:r>
        <w:t xml:space="preserve">the coverage that naive split conformal loses,</w:t>
      </w:r>
      <w:r>
        <w:t xml:space="preserve"> </w:t>
      </w:r>
      <w:r>
        <w:t xml:space="preserve">but 75–110% of that difference persists after within-block dependence has been</w:t>
      </w:r>
      <w:r>
        <w:t xml:space="preserve"> </w:t>
      </w:r>
      <w:r>
        <w:t xml:space="preserve">permuted away (§5.3, §5.5). Placing mass</w:t>
      </w:r>
      <w:r>
        <w:t xml:space="preserve"> </w:t>
      </w:r>
      <m:oMath>
        <m:r>
          <m:t>1</m:t>
        </m:r>
        <m:r>
          <m:rPr>
            <m:sty m:val="p"/>
          </m:rPr>
          <m:t>/</m:t>
        </m:r>
        <m:r>
          <m:rPr>
            <m:sty m:val="p"/>
          </m:rPr>
          <m:t>(</m:t>
        </m:r>
        <m:sSub>
          <m:e>
            <m:r>
              <m:t>K</m:t>
            </m:r>
          </m:e>
          <m:sub>
            <m:r>
              <m:t>1</m:t>
            </m:r>
          </m:sub>
        </m:sSub>
        <m:r>
          <m:rPr>
            <m:sty m:val="p"/>
          </m:rPr>
          <m:t>+</m:t>
        </m:r>
        <m:r>
          <m:t>1</m:t>
        </m:r>
        <m:r>
          <m:rPr>
            <m:sty m:val="p"/>
          </m:rPr>
          <m:t>)</m:t>
        </m:r>
      </m:oMath>
      <w:r>
        <w:t xml:space="preserve"> </w:t>
      </w:r>
      <w:r>
        <w:t xml:space="preserve">at</w:t>
      </w:r>
      <w:r>
        <w:t xml:space="preserve"> </w:t>
      </w:r>
      <m:oMath>
        <m:r>
          <m:rPr>
            <m:sty m:val="p"/>
          </m:rPr>
          <m:t>+</m:t>
        </m:r>
        <m:r>
          <m:rPr>
            <m:sty m:val="p"/>
          </m:rPr>
          <m:t>∞</m:t>
        </m:r>
      </m:oMath>
      <w:r>
        <w:t xml:space="preserve"> </w:t>
      </w:r>
      <w:r>
        <w:t xml:space="preserve">lifts HCP to a</w:t>
      </w:r>
      <w:r>
        <w:t xml:space="preserve"> </w:t>
      </w:r>
      <w:r>
        <w:t xml:space="preserve">higher empirical quantile irrespective of dependence, and when</w:t>
      </w:r>
      <w:r>
        <w:t xml:space="preserve"> </w:t>
      </w:r>
      <m:oMath>
        <m:sSub>
          <m:e>
            <m:r>
              <m:t>K</m:t>
            </m:r>
          </m:e>
          <m:sub>
            <m:r>
              <m:t>1</m:t>
            </m:r>
          </m:sub>
        </m:sSub>
      </m:oMath>
      <w:r>
        <w:t xml:space="preserve"> </w:t>
      </w:r>
      <w:r>
        <w:t xml:space="preserve">is small —</w:t>
      </w:r>
      <w:r>
        <w:t xml:space="preserve"> </w:t>
      </w:r>
      <w:r>
        <w:t xml:space="preserve">exactly the regime in which block-level calibration matters — this mechanical</w:t>
      </w:r>
      <w:r>
        <w:t xml:space="preserve"> </w:t>
      </w:r>
      <w:r>
        <w:t xml:space="preserve">inflation is the dominant effect. Below</w:t>
      </w:r>
      <w:r>
        <w:t xml:space="preserve"> </w:t>
      </w:r>
      <m:oMath>
        <m:sSub>
          <m:e>
            <m:r>
              <m:t>α</m:t>
            </m:r>
          </m:e>
          <m:sub>
            <m:r>
              <m:rPr>
                <m:sty m:val="p"/>
              </m:rPr>
              <m:t>min</m:t>
            </m:r>
          </m:sub>
        </m:sSub>
      </m:oMath>
      <w:r>
        <w:t xml:space="preserve"> </w:t>
      </w:r>
      <w:r>
        <w:t xml:space="preserve">the comparison</w:t>
      </w:r>
      <w:r>
        <w:t xml:space="preserve"> </w:t>
      </w:r>
      <w:r>
        <w:t xml:space="preserve">degenerates altogether, since HCP achieves coverage by returning every label</w:t>
      </w:r>
      <w:r>
        <w:t xml:space="preserve"> </w:t>
      </w:r>
      <w:r>
        <w:t xml:space="preserve">(Fig. 5). Any claim that a hierarchical method improves coverage should</w:t>
      </w:r>
      <w:r>
        <w:t xml:space="preserve"> </w:t>
      </w:r>
      <w:r>
        <w:t xml:space="preserve">accordingly be tested against a null that keeps block sizes and score marginals</w:t>
      </w:r>
      <w:r>
        <w:t xml:space="preserve"> </w:t>
      </w:r>
      <w:r>
        <w:t xml:space="preserve">but removes dependence, and coverage should always be accompanied by set size,</w:t>
      </w:r>
      <w:r>
        <w:t xml:space="preserve"> </w:t>
      </w:r>
      <w:r>
        <w:t xml:space="preserve">abstention being the cheapest route to coverage.</w:t>
      </w:r>
    </w:p>
    <w:p>
      <w:pPr>
        <w:pStyle w:val="BodyText"/>
        <w:jc w:val="both"/>
      </w:pPr>
      <w:r>
        <w:t xml:space="preserve">The second pitfall concerns uncertainty. Conformal methods are commonly</w:t>
      </w:r>
      <w:r>
        <w:t xml:space="preserve"> </w:t>
      </w:r>
      <w:r>
        <w:t xml:space="preserve">evaluated over many random calibration–test splits of one dataset, and the</w:t>
      </w:r>
      <w:r>
        <w:t xml:space="preserve"> </w:t>
      </w:r>
      <w:r>
        <w:t xml:space="preserve">spread or bootstrap interval of the resulting coverages is reported. When the</w:t>
      </w:r>
      <w:r>
        <w:t xml:space="preserve"> </w:t>
      </w:r>
      <w:r>
        <w:t xml:space="preserve">data are clustered, those splits reuse the same subjects, so the interval</w:t>
      </w:r>
      <w:r>
        <w:t xml:space="preserve"> </w:t>
      </w:r>
      <w:r>
        <w:t xml:space="preserve">describes the split procedure on those subjects and shrinks as more splits are</w:t>
      </w:r>
      <w:r>
        <w:t xml:space="preserve"> </w:t>
      </w:r>
      <w:r>
        <w:t xml:space="preserve">drawn; it is not a confidence interval for the population. On MIT-BIH the</w:t>
      </w:r>
      <w:r>
        <w:t xml:space="preserve"> </w:t>
      </w:r>
      <w:r>
        <w:t xml:space="preserve">distinction decides the reading: repeated-split intervals exclude zero in most</w:t>
      </w:r>
      <w:r>
        <w:t xml:space="preserve"> </w:t>
      </w:r>
      <w:r>
        <w:t xml:space="preserve">cells of Table VI, whereas the jackknife over the same 22 subjects includes zero</w:t>
      </w:r>
      <w:r>
        <w:t xml:space="preserve"> </w:t>
      </w:r>
      <w:r>
        <w:t xml:space="preserve">in all of them. Population claims about coverage on clustered data should</w:t>
      </w:r>
      <w:r>
        <w:t xml:space="preserve"> </w:t>
      </w:r>
      <w:r>
        <w:t xml:space="preserve">therefore resample subjects, and with few subjects the honest conclusion may be</w:t>
      </w:r>
      <w:r>
        <w:t xml:space="preserve"> </w:t>
      </w:r>
      <w:r>
        <w:t xml:space="preserve">that the sign of a coverage gap is not yet known.</w:t>
      </w:r>
    </w:p>
    <w:bookmarkEnd w:id="55"/>
    <w:bookmarkStart w:id="56" w:name="implications-and-relation-to-prior-work"/>
    <w:p>
      <w:pPr>
        <w:pStyle w:val="Heading2"/>
      </w:pPr>
      <w:r>
        <w:t xml:space="preserve">6.3 Implications and relation to prior work</w:t>
      </w:r>
    </w:p>
    <w:p>
      <w:pPr>
        <w:pStyle w:val="FirstParagraph"/>
        <w:jc w:val="both"/>
      </w:pPr>
      <w:r>
        <w:t xml:space="preserve">Before collecting or splitting data, a study that plans to attach</w:t>
      </w:r>
      <w:r>
        <w:t xml:space="preserve"> </w:t>
      </w:r>
      <w:r>
        <w:t xml:space="preserve">distribution-free guarantees to an ECG classifier can run four checks:</w:t>
      </w:r>
    </w:p>
    <w:p>
      <w:pPr>
        <w:pStyle w:val="Compact"/>
        <w:numPr>
          <w:ilvl w:val="0"/>
          <w:numId w:val="1002"/>
        </w:numPr>
      </w:pPr>
      <w:r>
        <w:t xml:space="preserve">Declare dependence sources — patient, device, site, operator, monitoring</w:t>
      </w:r>
      <w:r>
        <w:t xml:space="preserve"> </w:t>
      </w:r>
      <w:r>
        <w:t xml:space="preserve">episode — and confirm that each is documented. If one is not, as with patient</w:t>
      </w:r>
      <w:r>
        <w:t xml:space="preserve"> </w:t>
      </w:r>
      <w:r>
        <w:t xml:space="preserve">identity in the PhysioNet/CinC Challenge 2021 collection (§4.1), the block</w:t>
      </w:r>
      <w:r>
        <w:t xml:space="preserve"> </w:t>
      </w:r>
      <w:r>
        <w:t xml:space="preserve">count becomes an assumption instead of a measurement.</w:t>
      </w:r>
    </w:p>
    <w:p>
      <w:pPr>
        <w:pStyle w:val="Compact"/>
        <w:numPr>
          <w:ilvl w:val="0"/>
          <w:numId w:val="1002"/>
        </w:numPr>
      </w:pPr>
      <w:r>
        <w:t xml:space="preserve">Count blocks, not records, in the calibration set, using the grouping that</w:t>
      </w:r>
      <w:r>
        <w:t xml:space="preserve"> </w:t>
      </w:r>
      <w:r>
        <w:t xml:space="preserve">respects all declared sources, and compare that count with</w:t>
      </w:r>
      <w:r>
        <w:t xml:space="preserve"> </w:t>
      </w:r>
      <m:oMath>
        <m:r>
          <m:rPr>
            <m:sty m:val="p"/>
          </m:rPr>
          <m:t>⌈</m:t>
        </m:r>
        <m:r>
          <m:t>1</m:t>
        </m:r>
        <m:r>
          <m:rPr>
            <m:sty m:val="p"/>
          </m:rPr>
          <m:t>/</m:t>
        </m:r>
        <m:r>
          <m:t>α</m:t>
        </m:r>
        <m:r>
          <m:rPr>
            <m:sty m:val="p"/>
          </m:rPr>
          <m:t>⌉</m:t>
        </m:r>
        <m:r>
          <m:rPr>
            <m:sty m:val="p"/>
          </m:rPr>
          <m:t>−</m:t>
        </m:r>
        <m:r>
          <m:t>1</m:t>
        </m:r>
      </m:oMath>
      <w:r>
        <w:t xml:space="preserve">.</w:t>
      </w:r>
    </w:p>
    <w:p>
      <w:pPr>
        <w:pStyle w:val="Compact"/>
        <w:numPr>
          <w:ilvl w:val="0"/>
          <w:numId w:val="1002"/>
        </w:numPr>
      </w:pPr>
      <w:r>
        <w:t xml:space="preserve">Repeat the count per label whenever a label-conditional claim is made,</w:t>
      </w:r>
      <w:r>
        <w:t xml:space="preserve"> </w:t>
      </w:r>
      <w:r>
        <w:t xml:space="preserve">with</w:t>
      </w:r>
      <w:r>
        <w:t xml:space="preserve"> </w:t>
      </w:r>
      <m:oMath>
        <m:r>
          <m:rPr>
            <m:sty m:val="p"/>
          </m:rPr>
          <m:t>⌈</m:t>
        </m:r>
        <m:r>
          <m:t>m</m:t>
        </m:r>
        <m:r>
          <m:rPr>
            <m:sty m:val="p"/>
          </m:rPr>
          <m:t>/</m:t>
        </m:r>
        <m:r>
          <m:t>α</m:t>
        </m:r>
        <m:r>
          <m:rPr>
            <m:sty m:val="p"/>
          </m:rPr>
          <m:t>⌉</m:t>
        </m:r>
        <m:r>
          <m:rPr>
            <m:sty m:val="p"/>
          </m:rPr>
          <m:t>−</m:t>
        </m:r>
        <m:r>
          <m:t>1</m:t>
        </m:r>
      </m:oMath>
      <w:r>
        <w:t xml:space="preserve"> </w:t>
      </w:r>
      <w:r>
        <w:t xml:space="preserve">for simultaneous claims over</w:t>
      </w:r>
      <w:r>
        <w:t xml:space="preserve"> </w:t>
      </w:r>
      <m:oMath>
        <m:r>
          <m:t>m</m:t>
        </m:r>
      </m:oMath>
      <w:r>
        <w:t xml:space="preserve"> </w:t>
      </w:r>
      <w:r>
        <w:t xml:space="preserve">labels; rare</w:t>
      </w:r>
      <w:r>
        <w:t xml:space="preserve"> </w:t>
      </w:r>
      <w:r>
        <w:t xml:space="preserve">diagnoses usually fail first.</w:t>
      </w:r>
    </w:p>
    <w:p>
      <w:pPr>
        <w:pStyle w:val="Compact"/>
        <w:numPr>
          <w:ilvl w:val="0"/>
          <w:numId w:val="1002"/>
        </w:numPr>
      </w:pPr>
      <w:r>
        <w:t xml:space="preserve">Estimate the repetition through the harmonic mean block size before</w:t>
      </w:r>
      <w:r>
        <w:t xml:space="preserve"> </w:t>
      </w:r>
      <w:r>
        <w:t xml:space="preserve">deciding whether marginal coverage requires block-level calibration.</w:t>
      </w:r>
    </w:p>
    <w:p>
      <w:pPr>
        <w:pStyle w:val="FirstParagraph"/>
        <w:jc w:val="both"/>
      </w:pPr>
      <w:r>
        <w:t xml:space="preserve">The same arithmetic applies whenever coverage is conditioned on patient groups:</w:t>
      </w:r>
      <w:r>
        <w:t xml:space="preserve"> </w:t>
      </w:r>
      <w:r>
        <w:t xml:space="preserve">once group-conditional calibration, proposed to equalize coverage across</w:t>
      </w:r>
      <w:r>
        <w:t xml:space="preserve"> </w:t>
      </w:r>
      <w:r>
        <w:t xml:space="preserve">demographic groups [43], must also respect patient blocks, a group with few</w:t>
      </w:r>
      <w:r>
        <w:t xml:space="preserve"> </w:t>
      </w:r>
      <w:r>
        <w:t xml:space="preserve">patients in calibration faces the same bound as a rare label. Settings with</w:t>
      </w:r>
      <w:r>
        <w:t xml:space="preserve"> </w:t>
      </w:r>
      <w:r>
        <w:t xml:space="preserve">thousands of blocks, such as patients nested in hospitals [36], sit far from this</w:t>
      </w:r>
      <w:r>
        <w:t xml:space="preserve"> </w:t>
      </w:r>
      <w:r>
        <w:t xml:space="preserve">boundary, which is why it is easily missed. The inter-patient protocol guards</w:t>
      </w:r>
      <w:r>
        <w:t xml:space="preserve"> </w:t>
      </w:r>
      <w:r>
        <w:t xml:space="preserve">against subject-level leakage between training and evaluation [30], [32],</w:t>
      </w:r>
      <w:r>
        <w:t xml:space="preserve"> </w:t>
      </w:r>
      <w:r>
        <w:t xml:space="preserve">[31], and training regimes that differ in this respect have been compared</w:t>
      </w:r>
      <w:r>
        <w:t xml:space="preserve"> </w:t>
      </w:r>
      <w:r>
        <w:t xml:space="preserve">directly [44]; a split that is inter-patient for training can still leave too</w:t>
      </w:r>
      <w:r>
        <w:t xml:space="preserve"> </w:t>
      </w:r>
      <w:r>
        <w:t xml:space="preserve">few subjects in calibration.</w:t>
      </w:r>
    </w:p>
    <w:p>
      <w:pPr>
        <w:pStyle w:val="BodyText"/>
        <w:jc w:val="both"/>
      </w:pPr>
      <w:r>
        <w:t xml:space="preserve">For the study-design trade-off left open by Lee et al. [13], our results settle</w:t>
      </w:r>
      <w:r>
        <w:t xml:space="preserve"> </w:t>
      </w:r>
      <w:r>
        <w:t xml:space="preserve">its most elementary part: whether a finite threshold exists depends only on the</w:t>
      </w:r>
      <w:r>
        <w:t xml:space="preserve"> </w:t>
      </w:r>
      <w:r>
        <w:t xml:space="preserve">number of groups (Proposition 1). The bound plays, with blocks in place of</w:t>
      </w:r>
      <w:r>
        <w:t xml:space="preserve"> </w:t>
      </w:r>
      <w:r>
        <w:t xml:space="preserve">points, the role of the minimum calibration size implied for exchangeable data by</w:t>
      </w:r>
      <w:r>
        <w:t xml:space="preserve"> </w:t>
      </w:r>
      <w:r>
        <w:t xml:space="preserve">the universal coverage distribution of split conformal prediction [45], and, as</w:t>
      </w:r>
      <w:r>
        <w:t xml:space="preserve"> </w:t>
      </w:r>
      <w:r>
        <w:t xml:space="preserve">for rare classes under exchangeability [42], the count that matters per label is</w:t>
      </w:r>
      <w:r>
        <w:t xml:space="preserve"> </w:t>
      </w:r>
      <w:r>
        <w:t xml:space="preserve">that of blocks carrying it, under a condition that is necessary but not</w:t>
      </w:r>
      <w:r>
        <w:t xml:space="preserve"> </w:t>
      </w:r>
      <w:r>
        <w:t xml:space="preserve">sufficient (§3.4).</w:t>
      </w:r>
    </w:p>
    <w:p>
      <w:pPr>
        <w:pStyle w:val="BodyText"/>
        <w:jc w:val="both"/>
      </w:pPr>
      <w:r>
        <w:t xml:space="preserve">These findings agree with those of Sim and Kim on false-alarm control in ECG</w:t>
      </w:r>
      <w:r>
        <w:t xml:space="preserve"> </w:t>
      </w:r>
      <w:r>
        <w:t xml:space="preserve">[11]: subjects rather than beats carry the guarantee, and too few calibration</w:t>
      </w:r>
      <w:r>
        <w:t xml:space="preserve"> </w:t>
      </w:r>
      <w:r>
        <w:t xml:space="preserve">subjects undermine it. The audit differs in counting blocks under crossed sources</w:t>
      </w:r>
      <w:r>
        <w:t xml:space="preserve"> </w:t>
      </w:r>
      <w:r>
        <w:t xml:space="preserve">and per diagnostic label, and in separating dependence from block-size imbalance</w:t>
      </w:r>
      <w:r>
        <w:t xml:space="preserve"> </w:t>
      </w:r>
      <w:r>
        <w:t xml:space="preserve">and from the mechanical effect of the finite-block correction with a matched</w:t>
      </w:r>
      <w:r>
        <w:t xml:space="preserve"> </w:t>
      </w:r>
      <w:r>
        <w:t xml:space="preserve">permutation null and a factorial design. Evidence that marginal coverage can</w:t>
      </w:r>
      <w:r>
        <w:t xml:space="preserve"> </w:t>
      </w:r>
      <w:r>
        <w:t xml:space="preserve">mask per-class and per-patient failures in cardiac monitoring [10] agrees with</w:t>
      </w:r>
      <w:r>
        <w:t xml:space="preserve"> </w:t>
      </w:r>
      <w:r>
        <w:t xml:space="preserve">the label-level boundary of §5.1. Risk-control extensions [34], [46] and</w:t>
      </w:r>
      <w:r>
        <w:t xml:space="preserve"> </w:t>
      </w:r>
      <w:r>
        <w:t xml:space="preserve">time-series variants [35] of conformal prediction rest on related</w:t>
      </w:r>
      <w:r>
        <w:t xml:space="preserve"> </w:t>
      </w:r>
      <w:r>
        <w:t xml:space="preserve">exchangeability or stationarity assumptions; whether their block-level versions</w:t>
      </w:r>
      <w:r>
        <w:t xml:space="preserve"> </w:t>
      </w:r>
      <w:r>
        <w:t xml:space="preserve">meet the same boundary is left open.</w:t>
      </w:r>
    </w:p>
    <w:bookmarkEnd w:id="56"/>
    <w:bookmarkStart w:id="57" w:name="limitations-and-threats-to-validity"/>
    <w:p>
      <w:pPr>
        <w:pStyle w:val="Heading2"/>
      </w:pPr>
      <w:r>
        <w:t xml:space="preserve">6.4 Limitations and threats to validity</w:t>
      </w:r>
    </w:p>
    <w:p>
      <w:pPr>
        <w:pStyle w:val="FirstParagraph"/>
        <w:jc w:val="both"/>
      </w:pPr>
      <w:r>
        <w:t xml:space="preserve">This audit addresses marginal and label-wise coverage for a single method</w:t>
      </w:r>
      <w:r>
        <w:t xml:space="preserve"> </w:t>
      </w:r>
      <w:r>
        <w:t xml:space="preserve">family; the threats to its conclusions are grouped below by type.</w:t>
      </w:r>
    </w:p>
    <w:p>
      <w:pPr>
        <w:pStyle w:val="BodyText"/>
        <w:jc w:val="both"/>
      </w:pPr>
      <w:r>
        <w:rPr>
          <w:b/>
          <w:bCs/>
        </w:rPr>
        <w:t xml:space="preserve">Internal validity.</w:t>
      </w:r>
      <w:r>
        <w:t xml:space="preserve"> </w:t>
      </w:r>
      <w:r>
        <w:t xml:space="preserve">In folds 1–8 of PTB-XL only 64–68% of records were</w:t>
      </w:r>
      <w:r>
        <w:t xml:space="preserve"> </w:t>
      </w:r>
      <w:r>
        <w:t xml:space="preserve">validated by cardiologists, against 100% in folds 9 and 10. An early version of</w:t>
      </w:r>
      <w:r>
        <w:t xml:space="preserve"> </w:t>
      </w:r>
      <w:r>
        <w:t xml:space="preserve">the study that calibrated on fold 8 and evaluated on fold 9 reported an apparent</w:t>
      </w:r>
      <w:r>
        <w:t xml:space="preserve"> </w:t>
      </w:r>
      <w:r>
        <w:t xml:space="preserve">deficit of 1.43 percentage points at</w:t>
      </w:r>
      <w:r>
        <w:t xml:space="preserve"> </w:t>
      </w:r>
      <m:oMath>
        <m:r>
          <m:t>α</m:t>
        </m:r>
        <m:r>
          <m:rPr>
            <m:sty m:val="p"/>
          </m:rPr>
          <m:t>=</m:t>
        </m:r>
        <m:r>
          <m:t>0.05</m:t>
        </m:r>
      </m:oMath>
      <w:r>
        <w:t xml:space="preserve">; this proved to reflect the</w:t>
      </w:r>
      <w:r>
        <w:t xml:space="preserve"> </w:t>
      </w:r>
      <w:r>
        <w:t xml:space="preserve">change in label quality between folds rather than block dependence, which is why</w:t>
      </w:r>
      <w:r>
        <w:t xml:space="preserve"> </w:t>
      </w:r>
      <w:r>
        <w:t xml:space="preserve">confirmatory analyses use fold 9 and fold 10 remains unexamined. Each</w:t>
      </w:r>
      <w:r>
        <w:t xml:space="preserve"> </w:t>
      </w:r>
      <w:r>
        <w:t xml:space="preserve">data-handling choice in §4.1 protects against a failure that would raise no</w:t>
      </w:r>
      <w:r>
        <w:t xml:space="preserve"> </w:t>
      </w:r>
      <w:r>
        <w:t xml:space="preserve">error (unlabelled records, the channel order of record 114, boundary beats, and</w:t>
      </w:r>
      <w:r>
        <w:t xml:space="preserve"> </w:t>
      </w:r>
      <w:r>
        <w:t xml:space="preserve">the subject shared by records 201 and 202), and no preprocessing step uses a</w:t>
      </w:r>
      <w:r>
        <w:t xml:space="preserve"> </w:t>
      </w:r>
      <w:r>
        <w:t xml:space="preserve">quantity estimated from evaluation data: the filter is fixed and normalization is</w:t>
      </w:r>
      <w:r>
        <w:t xml:space="preserve"> </w:t>
      </w:r>
      <w:r>
        <w:t xml:space="preserve">per record or per beat.</w:t>
      </w:r>
    </w:p>
    <w:p>
      <w:pPr>
        <w:pStyle w:val="BodyText"/>
        <w:jc w:val="both"/>
      </w:pPr>
      <w:r>
        <w:rPr>
          <w:b/>
          <w:bCs/>
        </w:rPr>
        <w:t xml:space="preserve">Construct validity.</w:t>
      </w:r>
      <w:r>
        <w:t xml:space="preserve"> </w:t>
      </w:r>
      <w:r>
        <w:t xml:space="preserve">MIT-BIH class Q comprises 15 beats in total, 7 of which</w:t>
      </w:r>
      <w:r>
        <w:t xml:space="preserve"> </w:t>
      </w:r>
      <w:r>
        <w:t xml:space="preserve">fall in two evaluation records, so per-class statistics for Q cannot be</w:t>
      </w:r>
      <w:r>
        <w:t xml:space="preserve"> </w:t>
      </w:r>
      <w:r>
        <w:t xml:space="preserve">interpreted; reporting</w:t>
      </w:r>
      <w:r>
        <w:t xml:space="preserve"> </w:t>
      </w:r>
      <m:oMath>
        <m:sSub>
          <m:e>
            <m:r>
              <m:t>K</m:t>
            </m:r>
          </m:e>
          <m:sub>
            <m:r>
              <m:t>1</m:t>
            </m:r>
          </m:sub>
        </m:sSub>
        <m:r>
          <m:rPr>
            <m:sty m:val="p"/>
          </m:rPr>
          <m:t>(</m:t>
        </m:r>
        <m:r>
          <m:rPr>
            <m:sty m:val="p"/>
          </m:rPr>
          <m:t>Q</m:t>
        </m:r>
        <m:r>
          <m:rPr>
            <m:sty m:val="p"/>
          </m:rPr>
          <m:t>)</m:t>
        </m:r>
        <m:r>
          <m:rPr>
            <m:sty m:val="p"/>
          </m:rPr>
          <m:t>=</m:t>
        </m:r>
        <m:r>
          <m:t>2</m:t>
        </m:r>
      </m:oMath>
      <w:r>
        <w:t xml:space="preserve">, i.e. </w:t>
      </w:r>
      <m:oMath>
        <m:sSub>
          <m:e>
            <m:r>
              <m:t>α</m:t>
            </m:r>
          </m:e>
          <m:sub>
            <m:r>
              <m:rPr>
                <m:sty m:val="p"/>
              </m:rPr>
              <m:t>min</m:t>
            </m:r>
          </m:sub>
        </m:sSub>
        <m:r>
          <m:rPr>
            <m:sty m:val="p"/>
          </m:rPr>
          <m:t>=</m:t>
        </m:r>
        <m:r>
          <m:t>1</m:t>
        </m:r>
        <m:r>
          <m:rPr>
            <m:sty m:val="p"/>
          </m:rPr>
          <m:t>/</m:t>
        </m:r>
        <m:r>
          <m:t>3</m:t>
        </m:r>
      </m:oMath>
      <w:r>
        <w:t xml:space="preserve">, keeps the</w:t>
      </w:r>
      <w:r>
        <w:t xml:space="preserve"> </w:t>
      </w:r>
      <w:r>
        <w:t xml:space="preserve">boundary in view instead of averaging it away. Our backbones perform below</w:t>
      </w:r>
      <w:r>
        <w:t xml:space="preserve"> </w:t>
      </w:r>
      <w:r>
        <w:t xml:space="preserve">published PTB-XL benchmarks [1] and poorly on MIT-BIH minority classes</w:t>
      </w:r>
      <w:r>
        <w:t xml:space="preserve"> </w:t>
      </w:r>
      <w:r>
        <w:t xml:space="preserve">(balanced accuracy 0.37–0.38 for all three), which enlarges prediction sets</w:t>
      </w:r>
      <w:r>
        <w:t xml:space="preserve"> </w:t>
      </w:r>
      <w:r>
        <w:t xml:space="preserve">without lowering coverage (§4.3, §5.5). Since only 4 records were available for</w:t>
      </w:r>
      <w:r>
        <w:t xml:space="preserve"> </w:t>
      </w:r>
      <w:r>
        <w:t xml:space="preserve">validation, early stopping chose epoch 1 for ResNet1D-50 on MIT-BIH; the</w:t>
      </w:r>
      <w:r>
        <w:t xml:space="preserve"> </w:t>
      </w:r>
      <w:r>
        <w:t xml:space="preserve">last-epoch sensitivity analysis left the sign of every deficit and every</w:t>
      </w:r>
      <w:r>
        <w:t xml:space="preserve"> </w:t>
      </w:r>
      <m:oMath>
        <m:sSub>
          <m:e>
            <m:r>
              <m:t>K</m:t>
            </m:r>
          </m:e>
          <m:sub>
            <m:r>
              <m:t>1</m:t>
            </m:r>
          </m:sub>
        </m:sSub>
      </m:oMath>
      <w:r>
        <w:t xml:space="preserve"> </w:t>
      </w:r>
      <w:r>
        <w:t xml:space="preserve">intact but not the magnitude, which is therefore not compared across backbones.</w:t>
      </w:r>
    </w:p>
    <w:p>
      <w:pPr>
        <w:pStyle w:val="BodyText"/>
        <w:jc w:val="both"/>
      </w:pPr>
      <w:r>
        <w:rPr>
          <w:b/>
          <w:bCs/>
        </w:rPr>
        <w:t xml:space="preserve">External validity.</w:t>
      </w:r>
      <w:r>
        <w:t xml:space="preserve"> </w:t>
      </w:r>
      <w:r>
        <w:t xml:space="preserve">PTB-XL comes from a single institution and was recorded</w:t>
      </w:r>
      <w:r>
        <w:t xml:space="preserve"> </w:t>
      </w:r>
      <w:r>
        <w:t xml:space="preserve">between 1989 and 1996; its device, nurse and site metadata are what make the</w:t>
      </w:r>
      <w:r>
        <w:t xml:space="preserve"> </w:t>
      </w:r>
      <w:r>
        <w:t xml:space="preserve">block analysis possible, but its estimates of</w:t>
      </w:r>
      <w:r>
        <w:t xml:space="preserve"> </w:t>
      </w:r>
      <m:oMath>
        <m:r>
          <m:t>ρ</m:t>
        </m:r>
      </m:oMath>
      <w:r>
        <w:t xml:space="preserve"> </w:t>
      </w:r>
      <w:r>
        <w:t xml:space="preserve">and</w:t>
      </w:r>
      <w:r>
        <w:t xml:space="preserve"> </w:t>
      </w:r>
      <m:oMath>
        <m:r>
          <m:t>H</m:t>
        </m:r>
      </m:oMath>
      <w:r>
        <w:t xml:space="preserve"> </w:t>
      </w:r>
      <w:r>
        <w:t xml:space="preserve">may not carry over to</w:t>
      </w:r>
      <w:r>
        <w:t xml:space="preserve"> </w:t>
      </w:r>
      <w:r>
        <w:t xml:space="preserve">present-day multi-center cohorts. Of the twelve dose–response points, eleven are</w:t>
      </w:r>
      <w:r>
        <w:t xml:space="preserve"> </w:t>
      </w:r>
      <w:r>
        <w:t xml:space="preserve">synthetic MIT-BIH configurations and only PTB-XL is observed, so the combined</w:t>
      </w:r>
      <w:r>
        <w:t xml:space="preserve"> </w:t>
      </w:r>
      <w:r>
        <w:t xml:space="preserve">correlation reflects an intervention inside one dataset rather than naturally</w:t>
      </w:r>
      <w:r>
        <w:t xml:space="preserve"> </w:t>
      </w:r>
      <w:r>
        <w:t xml:space="preserve">differing cohorts, and PTB-XL — which differs in modality, task and block type —</w:t>
      </w:r>
      <w:r>
        <w:t xml:space="preserve"> </w:t>
      </w:r>
      <w:r>
        <w:t xml:space="preserve">serves only as a prediction check (§5.4). All results concern ECG, and</w:t>
      </w:r>
      <w:r>
        <w:t xml:space="preserve"> </w:t>
      </w:r>
      <w:r>
        <w:t xml:space="preserve">temporal dependence within a patient across visits is not addressed; other</w:t>
      </w:r>
      <w:r>
        <w:t xml:space="preserve"> </w:t>
      </w:r>
      <w:r>
        <w:t xml:space="preserve">clinical signals with repeated measurements are natural candidates for the same</w:t>
      </w:r>
      <w:r>
        <w:t xml:space="preserve"> </w:t>
      </w:r>
      <w:r>
        <w:t xml:space="preserve">analysis but were not examined.</w:t>
      </w:r>
    </w:p>
    <w:p>
      <w:pPr>
        <w:pStyle w:val="BodyText"/>
        <w:jc w:val="both"/>
      </w:pPr>
      <w:r>
        <w:rPr>
          <w:b/>
          <w:bCs/>
        </w:rPr>
        <w:t xml:space="preserve">Statistical conclusion validity.</w:t>
      </w:r>
      <w:r>
        <w:t xml:space="preserve"> </w:t>
      </w:r>
      <w:r>
        <w:t xml:space="preserve">The repeated-split intervals of Table VI</w:t>
      </w:r>
      <w:r>
        <w:t xml:space="preserve"> </w:t>
      </w:r>
      <w:r>
        <w:t xml:space="preserve">and Fig. 6 and the Spearman</w:t>
      </w:r>
      <w:r>
        <w:t xml:space="preserve"> </w:t>
      </w:r>
      <m:oMath>
        <m:r>
          <m:t>p</m:t>
        </m:r>
      </m:oMath>
      <w:r>
        <w:t xml:space="preserve">-values of Table VII are conditional on the 22 DS2</w:t>
      </w:r>
      <w:r>
        <w:t xml:space="preserve"> </w:t>
      </w:r>
      <w:r>
        <w:t xml:space="preserve">records and one permutation (§4.4, §6.2). Only the leave-one-record-out</w:t>
      </w:r>
      <w:r>
        <w:t xml:space="preserve"> </w:t>
      </w:r>
      <w:r>
        <w:t xml:space="preserve">jackknife, added as a post hoc sensitivity analysis, treats records as the</w:t>
      </w:r>
      <w:r>
        <w:t xml:space="preserve"> </w:t>
      </w:r>
      <w:r>
        <w:t xml:space="preserve">sampling unit, and its intervals include zero in every cell; because each</w:t>
      </w:r>
      <w:r>
        <w:t xml:space="preserve"> </w:t>
      </w:r>
      <w:r>
        <w:t xml:space="preserve">replicate rests on 500 splits, Monte Carlo error inflates its variance somewhat,</w:t>
      </w:r>
      <w:r>
        <w:t xml:space="preserve"> </w:t>
      </w:r>
      <w:r>
        <w:t xml:space="preserve">so those intervals are conservative. Neither a single split nor a single</w:t>
      </w:r>
      <w:r>
        <w:t xml:space="preserve"> </w:t>
      </w:r>
      <w:r>
        <w:t xml:space="preserve">dose–response point shows a deficit: the split-to-split range covers</w:t>
      </w:r>
      <w:r>
        <w:t xml:space="preserve"> </w:t>
      </w:r>
      <m:oMath>
        <m:r>
          <m:t>1</m:t>
        </m:r>
        <m:r>
          <m:rPr>
            <m:sty m:val="p"/>
          </m:rPr>
          <m:t>−</m:t>
        </m:r>
        <m:r>
          <m:t>α</m:t>
        </m:r>
      </m:oMath>
      <w:r>
        <w:t xml:space="preserve"> </w:t>
      </w:r>
      <w:r>
        <w:t xml:space="preserve">in</w:t>
      </w:r>
      <w:r>
        <w:t xml:space="preserve"> </w:t>
      </w:r>
      <w:r>
        <w:t xml:space="preserve">every MIT-BIH cell (Table V). Coverage on its own flatters HCP, which covers by</w:t>
      </w:r>
      <w:r>
        <w:t xml:space="preserve"> </w:t>
      </w:r>
      <w:r>
        <w:t xml:space="preserve">abstaining below</w:t>
      </w:r>
      <w:r>
        <w:t xml:space="preserve"> </w:t>
      </w:r>
      <m:oMath>
        <m:sSub>
          <m:e>
            <m:r>
              <m:t>α</m:t>
            </m:r>
          </m:e>
          <m:sub>
            <m:r>
              <m:rPr>
                <m:sty m:val="p"/>
              </m:rPr>
              <m:t>min</m:t>
            </m:r>
          </m:sub>
        </m:sSub>
      </m:oMath>
      <w:r>
        <w:t xml:space="preserve"> </w:t>
      </w:r>
      <w:r>
        <w:t xml:space="preserve">(§5.2), so set size is reported throughout. Two</w:t>
      </w:r>
      <w:r>
        <w:t xml:space="preserve"> </w:t>
      </w:r>
      <w:r>
        <w:t xml:space="preserve">criteria from our initial protocol did not survive:</w:t>
      </w:r>
      <w:r>
        <w:t xml:space="preserve"> </w:t>
      </w:r>
      <w:r>
        <w:t xml:space="preserve">“HCP covers better than split</w:t>
      </w:r>
      <w:r>
        <w:t xml:space="preserve"> </w:t>
      </w:r>
      <w:r>
        <w:t xml:space="preserve">conformal”</w:t>
      </w:r>
      <w:r>
        <w:t xml:space="preserve"> </w:t>
      </w:r>
      <w:r>
        <w:t xml:space="preserve">was withdrawn once the permutation control showed the gap to be</w:t>
      </w:r>
      <w:r>
        <w:t xml:space="preserve"> </w:t>
      </w:r>
      <w:r>
        <w:t xml:space="preserve">largely mechanical (§5.3), and a Spearman test across two datasets, whose rank</w:t>
      </w:r>
      <w:r>
        <w:t xml:space="preserve"> </w:t>
      </w:r>
      <w:r>
        <w:t xml:space="preserve">correlation can only be</w:t>
      </w:r>
      <w:r>
        <w:t xml:space="preserve"> </w:t>
      </w:r>
      <m:oMath>
        <m:r>
          <m:rPr>
            <m:sty m:val="p"/>
          </m:rPr>
          <m:t>±</m:t>
        </m:r>
        <m:r>
          <m:t>1</m:t>
        </m:r>
      </m:oMath>
      <w:r>
        <w:t xml:space="preserve">, was replaced by the correlations of §5.4. These</w:t>
      </w:r>
      <w:r>
        <w:t xml:space="preserve"> </w:t>
      </w:r>
      <w:r>
        <w:t xml:space="preserve">changes and the departures from the initial statistical plan (patient-level</w:t>
      </w:r>
      <w:r>
        <w:t xml:space="preserve"> </w:t>
      </w:r>
      <w:r>
        <w:t xml:space="preserve">bootstrap, a paired permutation test with 10,000 permutations, exact binomial</w:t>
      </w:r>
      <w:r>
        <w:t xml:space="preserve"> </w:t>
      </w:r>
      <w:r>
        <w:t xml:space="preserve">intervals and Cliff’s delta, none of which was used) are listed in the</w:t>
      </w:r>
      <w:r>
        <w:t xml:space="preserve"> </w:t>
      </w:r>
      <w:r>
        <w:t xml:space="preserve">protocol’s deviation log.</w:t>
      </w:r>
    </w:p>
    <w:p>
      <w:pPr>
        <w:pStyle w:val="BodyText"/>
        <w:jc w:val="both"/>
      </w:pPr>
      <w:r>
        <w:rPr>
          <w:b/>
          <w:bCs/>
        </w:rPr>
        <w:t xml:space="preserve">Theoretical scope.</w:t>
      </w:r>
      <w:r>
        <w:t xml:space="preserve"> </w:t>
      </w:r>
      <w:r>
        <w:t xml:space="preserve">The variance of §3.2 and the design effects (4) depend on</w:t>
      </w:r>
      <w:r>
        <w:t xml:space="preserve"> </w:t>
      </w:r>
      <w:r>
        <w:t xml:space="preserve">Assumption (A), a one-way random-effects model with compound symmetry, whereas</w:t>
      </w:r>
      <w:r>
        <w:t xml:space="preserve"> </w:t>
      </w:r>
      <w:r>
        <w:t xml:space="preserve">Proposition 1, Corollary 2 and Proposition 3 hold without distributional</w:t>
      </w:r>
      <w:r>
        <w:t xml:space="preserve"> </w:t>
      </w:r>
      <w:r>
        <w:t xml:space="preserve">assumptions. That variance involves the correlation of the coverage indicator</w:t>
      </w:r>
      <w:r>
        <w:t xml:space="preserve"> </w:t>
      </w:r>
      <w:r>
        <w:t xml:space="preserve">rather than of the raw score; with the indicator correlation every Spearman</w:t>
      </w:r>
      <w:r>
        <w:t xml:space="preserve"> </w:t>
      </w:r>
      <w:r>
        <w:t xml:space="preserve">coefficient stays positive (Table VII), and PTB-XL’s correlation drops from</w:t>
      </w:r>
      <w:r>
        <w:t xml:space="preserve"> </w:t>
      </w:r>
      <w:r>
        <w:t xml:space="preserve">0.35 to 0.19–0.20 while its design effect remains near 1. The design effect ranks</w:t>
      </w:r>
      <w:r>
        <w:t xml:space="preserve"> </w:t>
      </w:r>
      <w:r>
        <w:t xml:space="preserve">configurations, but we do not show that it is a sufficient statistic for</w:t>
      </w:r>
      <w:r>
        <w:t xml:space="preserve"> </w:t>
      </w:r>
      <w:r>
        <w:t xml:space="preserve">coverage loss. Corollary 2 is proved for HCP only (§3.3), and the</w:t>
      </w:r>
      <w:r>
        <w:t xml:space="preserve"> </w:t>
      </w:r>
      <w:r>
        <w:t xml:space="preserve">hierarchical constructions are not compared with one another [14]. For PTB-XL</w:t>
      </w:r>
      <w:r>
        <w:t xml:space="preserve"> </w:t>
      </w:r>
      <w:r>
        <w:t xml:space="preserve">the verdict is exhaustive only with respect to the declared sources {patient,</w:t>
      </w:r>
      <w:r>
        <w:t xml:space="preserve"> </w:t>
      </w:r>
      <w:r>
        <w:t xml:space="preserve">site, nurse, device}, which the data cannot verify, and the merging of joined</w:t>
      </w:r>
      <w:r>
        <w:t xml:space="preserve"> </w:t>
      </w:r>
      <w:r>
        <w:t xml:space="preserve">partitions into a giant component is already known [41]. Declaring only</w:t>
      </w:r>
      <w:r>
        <w:t xml:space="preserve"> </w:t>
      </w:r>
      <w:r>
        <w:t xml:space="preserve">{patient, site} yields</w:t>
      </w:r>
      <w:r>
        <w:t xml:space="preserve"> </w:t>
      </w:r>
      <m:oMath>
        <m:sSub>
          <m:e>
            <m:r>
              <m:t>K</m:t>
            </m:r>
          </m:e>
          <m:sub>
            <m:r>
              <m:t>1</m:t>
            </m:r>
          </m:sub>
        </m:sSub>
        <m:r>
          <m:rPr>
            <m:sty m:val="p"/>
          </m:rPr>
          <m:t>=</m:t>
        </m:r>
        <m:r>
          <m:t>34</m:t>
        </m:r>
      </m:oMath>
      <w:r>
        <w:t xml:space="preserve"> </w:t>
      </w:r>
      <w:r>
        <w:t xml:space="preserve">on the full calibration fold and makes</w:t>
      </w:r>
      <w:r>
        <w:t xml:space="preserve"> </w:t>
      </w:r>
      <m:oMath>
        <m:r>
          <m:t>α</m:t>
        </m:r>
        <m:r>
          <m:rPr>
            <m:sty m:val="p"/>
          </m:rPr>
          <m:t>=</m:t>
        </m:r>
        <m:r>
          <m:t>0.05</m:t>
        </m:r>
      </m:oMath>
      <w:r>
        <w:t xml:space="preserve"> </w:t>
      </w:r>
      <w:r>
        <w:t xml:space="preserve">feasible, yet 31 of these blocks consist entirely of 188 records</w:t>
      </w:r>
      <w:r>
        <w:t xml:space="preserve"> </w:t>
      </w:r>
      <w:r>
        <w:t xml:space="preserve">without nurse metadata, and on the 1,960 fully annotated records the same</w:t>
      </w:r>
      <w:r>
        <w:t xml:space="preserve"> </w:t>
      </w:r>
      <w:r>
        <w:t xml:space="preserve">declaration yields</w:t>
      </w:r>
      <w:r>
        <w:t xml:space="preserve"> </w:t>
      </w:r>
      <m:oMath>
        <m:sSub>
          <m:e>
            <m:r>
              <m:t>K</m:t>
            </m:r>
          </m:e>
          <m:sub>
            <m:r>
              <m:t>1</m:t>
            </m:r>
          </m:sub>
        </m:sSub>
        <m:r>
          <m:rPr>
            <m:sty m:val="p"/>
          </m:rPr>
          <m:t>=</m:t>
        </m:r>
        <m:r>
          <m:t>3</m:t>
        </m:r>
      </m:oMath>
      <w:r>
        <w:t xml:space="preserve">. The result is therefore stated conditionally:</w:t>
      </w:r>
      <w:r>
        <w:t xml:space="preserve"> </w:t>
      </w:r>
      <w:r>
        <w:rPr>
          <w:i/>
          <w:iCs/>
        </w:rPr>
        <w:t xml:space="preserve">if</w:t>
      </w:r>
      <w:r>
        <w:rPr>
          <w:i/>
          <w:iCs/>
        </w:rPr>
        <w:t xml:space="preserve"> </w:t>
      </w:r>
      <w:r>
        <w:rPr>
          <w:i/>
          <w:iCs/>
        </w:rPr>
        <w:t xml:space="preserve">patient, site, nurse, and device are all treated as dependence sources, no</w:t>
      </w:r>
      <w:r>
        <w:rPr>
          <w:i/>
          <w:iCs/>
        </w:rPr>
        <w:t xml:space="preserve"> </w:t>
      </w:r>
      <w:r>
        <w:rPr>
          <w:i/>
          <w:iCs/>
        </w:rPr>
        <w:t xml:space="preserve">admissible calibration grouping exists at any conventional</w:t>
      </w:r>
      <w:r>
        <w:rPr>
          <w:i/>
          <w:iCs/>
        </w:rPr>
        <w:t xml:space="preserve"> </w:t>
      </w:r>
      <m:oMath>
        <m:r>
          <m:t>α</m:t>
        </m:r>
      </m:oMath>
      <w:r>
        <w:rPr>
          <w:i/>
          <w:iCs/>
        </w:rPr>
        <w:t xml:space="preserve">.</w:t>
      </w:r>
      <w:r>
        <w:t xml:space="preserve"> </w:t>
      </w:r>
      <w:r>
        <w:t xml:space="preserve">Lastly,</w:t>
      </w:r>
      <w:r>
        <w:t xml:space="preserve"> </w:t>
      </w:r>
      <w:r>
        <w:t xml:space="preserve">what ECG networks learn [47] and how well they discriminate on benchmarks [1]</w:t>
      </w:r>
      <w:r>
        <w:t xml:space="preserve"> </w:t>
      </w:r>
      <w:r>
        <w:t xml:space="preserve">are orthogonal to the present question: an accurate model calibrated on too few</w:t>
      </w:r>
      <w:r>
        <w:t xml:space="preserve"> </w:t>
      </w:r>
      <w:r>
        <w:t xml:space="preserve">blocks still carries no guarantee.</w:t>
      </w:r>
    </w:p>
    <w:p>
      <w:pPr>
        <w:pStyle w:val="BodyText"/>
        <w:jc w:val="both"/>
      </w:pPr>
      <w:r>
        <w:rPr>
          <w:b/>
          <w:bCs/>
        </w:rPr>
        <w:t xml:space="preserve">Researcher degrees of freedom.</w:t>
      </w:r>
      <w:r>
        <w:t xml:space="preserve"> </w:t>
      </w:r>
      <w:r>
        <w:t xml:space="preserve">Our interpretation of the MIT-BIH evidence</w:t>
      </w:r>
      <w:r>
        <w:t xml:space="preserve"> </w:t>
      </w:r>
      <w:r>
        <w:t xml:space="preserve">changed three times before settling, each change prompted by an added control</w:t>
      </w:r>
      <w:r>
        <w:t xml:space="preserve"> </w:t>
      </w:r>
      <w:r>
        <w:t xml:space="preserve">rather than by rereading existing data, and its statistical strength was revised</w:t>
      </w:r>
      <w:r>
        <w:t xml:space="preserve"> </w:t>
      </w:r>
      <w:r>
        <w:t xml:space="preserve">once more (Appendix B). Four analyses were introduced or modified after results</w:t>
      </w:r>
      <w:r>
        <w:t xml:space="preserve"> </w:t>
      </w:r>
      <w:r>
        <w:t xml:space="preserve">had been seen, and every one of them made the evidence stricter. The permutation</w:t>
      </w:r>
      <w:r>
        <w:t xml:space="preserve"> </w:t>
      </w:r>
      <w:r>
        <w:t xml:space="preserve">control overturned a criterion that had favored our hypothesis; the Holm</w:t>
      </w:r>
      <w:r>
        <w:t xml:space="preserve"> </w:t>
      </w:r>
      <w:r>
        <w:t xml:space="preserve">correction, specified in our initial protocol but not applied at first, removed</w:t>
      </w:r>
      <w:r>
        <w:t xml:space="preserve"> </w:t>
      </w:r>
      <w:r>
        <w:t xml:space="preserve">the last significant level for ResNet1D-34; the reporting axis was chosen after</w:t>
      </w:r>
      <w:r>
        <w:t xml:space="preserve"> </w:t>
      </w:r>
      <w:r>
        <w:t xml:space="preserve">ICC had failed to place the two datasets on one scale; and the record-level</w:t>
      </w:r>
      <w:r>
        <w:t xml:space="preserve"> </w:t>
      </w:r>
      <w:r>
        <w:t xml:space="preserve">jackknife, specified and committed before it was run, showed that the</w:t>
      </w:r>
      <w:r>
        <w:t xml:space="preserve"> </w:t>
      </w:r>
      <w:r>
        <w:t xml:space="preserve">repeated-split significance did not extend to subjects. The factor</w:t>
      </w:r>
      <w:r>
        <w:t xml:space="preserve"> </w:t>
      </w:r>
      <m:oMath>
        <m:r>
          <m:t>1</m:t>
        </m:r>
        <m:r>
          <m:rPr>
            <m:sty m:val="p"/>
          </m:rPr>
          <m:t>+</m:t>
        </m:r>
        <m:r>
          <m:rPr>
            <m:sty m:val="p"/>
          </m:rPr>
          <m:t>(</m:t>
        </m:r>
        <m:r>
          <m:t>H</m:t>
        </m:r>
        <m:r>
          <m:rPr>
            <m:sty m:val="p"/>
          </m:rPr>
          <m:t>−</m:t>
        </m:r>
        <m:r>
          <m:t>1</m:t>
        </m:r>
        <m:r>
          <m:rPr>
            <m:sty m:val="p"/>
          </m:rPr>
          <m:t>)</m:t>
        </m:r>
        <m:r>
          <m:t>ρ</m:t>
        </m:r>
      </m:oMath>
      <w:r>
        <w:t xml:space="preserve"> </w:t>
      </w:r>
      <w:r>
        <w:t xml:space="preserve">already appeared in our theoretical notes before data collection,</w:t>
      </w:r>
      <w:r>
        <w:t xml:space="preserve"> </w:t>
      </w:r>
      <w:r>
        <w:t xml:space="preserve">and</w:t>
      </w:r>
      <w:r>
        <w:t xml:space="preserve"> </w:t>
      </w:r>
      <m:oMath>
        <m:r>
          <m:t>H</m:t>
        </m:r>
      </m:oMath>
      <w:r>
        <w:t xml:space="preserve"> </w:t>
      </w:r>
      <w:r>
        <w:t xml:space="preserve">follows from the variance in §3.2 instead of being selected, but the</w:t>
      </w:r>
      <w:r>
        <w:t xml:space="preserve"> </w:t>
      </w:r>
      <w:r>
        <w:t xml:space="preserve">decision to report on this axis was taken with the results in view. The analysis</w:t>
      </w:r>
      <w:r>
        <w:t xml:space="preserve"> </w:t>
      </w:r>
      <w:r>
        <w:t xml:space="preserve">protocol was kept under version control but was never publicly registered or</w:t>
      </w:r>
      <w:r>
        <w:t xml:space="preserve"> </w:t>
      </w:r>
      <w:r>
        <w:t xml:space="preserve">formally frozen; it is released with its deviation log.</w:t>
      </w:r>
    </w:p>
    <w:bookmarkEnd w:id="57"/>
    <w:bookmarkEnd w:id="58"/>
    <w:bookmarkStart w:id="59" w:name="conclusion"/>
    <w:p>
      <w:pPr>
        <w:pStyle w:val="Heading1"/>
      </w:pPr>
      <w:r>
        <w:t xml:space="preserve">7. Conclusion</w:t>
      </w:r>
    </w:p>
    <w:p>
      <w:pPr>
        <w:pStyle w:val="FirstParagraph"/>
        <w:jc w:val="both"/>
      </w:pPr>
      <w:r>
        <w:t xml:space="preserve">For clinical ECG data, whether a distribution-free coverage guarantee exists is</w:t>
      </w:r>
      <w:r>
        <w:t xml:space="preserve"> </w:t>
      </w:r>
      <w:r>
        <w:t xml:space="preserve">settled by the study design before the model plays any part. HCP can deliver one</w:t>
      </w:r>
      <w:r>
        <w:t xml:space="preserve"> </w:t>
      </w:r>
      <w:r>
        <w:t xml:space="preserve">at a given error rate only if enough calibration blocks remain once the declared</w:t>
      </w:r>
      <w:r>
        <w:t xml:space="preserve"> </w:t>
      </w:r>
      <w:r>
        <w:t xml:space="preserve">dependence sources are respected — a count that metadata provide before</w:t>
      </w:r>
      <w:r>
        <w:t xml:space="preserve"> </w:t>
      </w:r>
      <w:r>
        <w:t xml:space="preserve">enrollment and that tends to be smallest for the rare diagnoses where calibrated</w:t>
      </w:r>
      <w:r>
        <w:t xml:space="preserve"> </w:t>
      </w:r>
      <w:r>
        <w:t xml:space="preserve">uncertainty matters most. Whether ignoring blocks costs coverage depended on</w:t>
      </w:r>
      <w:r>
        <w:t xml:space="preserve"> </w:t>
      </w:r>
      <w:r>
        <w:t xml:space="preserve">repetition as well as on correlation: with near-singleton blocks even substantial</w:t>
      </w:r>
      <w:r>
        <w:t xml:space="preserve"> </w:t>
      </w:r>
      <w:r>
        <w:t xml:space="preserve">correlation left coverage intact, while with thousands of beats per subject a</w:t>
      </w:r>
      <w:r>
        <w:t xml:space="preserve"> </w:t>
      </w:r>
      <w:r>
        <w:t xml:space="preserve">deficit appeared on the audited subjects that 22 of them were too few to</w:t>
      </w:r>
      <w:r>
        <w:t xml:space="preserve"> </w:t>
      </w:r>
      <w:r>
        <w:t xml:space="preserve">establish for the population. Evaluations of conformal methods on clustered data</w:t>
      </w:r>
      <w:r>
        <w:t xml:space="preserve"> </w:t>
      </w:r>
      <w:r>
        <w:t xml:space="preserve">should therefore use a null that removes dependence but keeps block geometry,</w:t>
      </w:r>
      <w:r>
        <w:t xml:space="preserve"> </w:t>
      </w:r>
      <w:r>
        <w:t xml:space="preserve">report set size next to coverage, and resample subjects rather than splits when</w:t>
      </w:r>
      <w:r>
        <w:t xml:space="preserve"> </w:t>
      </w:r>
      <w:r>
        <w:t xml:space="preserve">a population claim is made; clinical studies that claim conformal guarantees</w:t>
      </w:r>
      <w:r>
        <w:t xml:space="preserve"> </w:t>
      </w:r>
      <w:r>
        <w:t xml:space="preserve">should report the dependence sources they declared and the number of</w:t>
      </w:r>
      <w:r>
        <w:t xml:space="preserve"> </w:t>
      </w:r>
      <w:r>
        <w:t xml:space="preserve">calibration blocks, per label where relevant. These conclusions are limited to</w:t>
      </w:r>
      <w:r>
        <w:t xml:space="preserve"> </w:t>
      </w:r>
      <w:r>
        <w:t xml:space="preserve">HCP and to the sources declared here, and whether other block-level procedures</w:t>
      </w:r>
      <w:r>
        <w:t xml:space="preserve"> </w:t>
      </w:r>
      <w:r>
        <w:t xml:space="preserve">face the same boundary is an open question.</w:t>
      </w:r>
    </w:p>
    <w:bookmarkEnd w:id="59"/>
    <w:bookmarkStart w:id="60" w:name="data-and-code-availability"/>
    <w:p>
      <w:pPr>
        <w:pStyle w:val="Heading1"/>
      </w:pPr>
      <w:r>
        <w:t xml:space="preserve">Data and Code Availability</w:t>
      </w:r>
    </w:p>
    <w:p>
      <w:pPr>
        <w:pStyle w:val="FirstParagraph"/>
        <w:jc w:val="both"/>
      </w:pPr>
      <w:r>
        <w:t xml:space="preserve">PTB-XL (version 1.0.3) [15], the MIT-BIH Arrhythmia Database [16] and the</w:t>
      </w:r>
      <w:r>
        <w:t xml:space="preserve"> </w:t>
      </w:r>
      <w:r>
        <w:t xml:space="preserve">PhysioNet/CinC Challenge 2021 collection (version 1.0.3) [17] are publicly</w:t>
      </w:r>
      <w:r>
        <w:t xml:space="preserve"> </w:t>
      </w:r>
      <w:r>
        <w:t xml:space="preserve">available from PhysioNet under their respective licences. The code, the analysis</w:t>
      </w:r>
      <w:r>
        <w:t xml:space="preserve"> </w:t>
      </w:r>
      <w:r>
        <w:t xml:space="preserve">protocol with its deviation log, and the JSON artifact behind every reported</w:t>
      </w:r>
      <w:r>
        <w:t xml:space="preserve"> </w:t>
      </w:r>
      <w:r>
        <w:t xml:space="preserve">number will be archived under a persistent identifier before publication</w:t>
      </w:r>
      <w:r>
        <w:t xml:space="preserve"> </w:t>
      </w:r>
      <w:r>
        <w:t xml:space="preserve">[identifier to be inserted].</w:t>
      </w:r>
    </w:p>
    <w:bookmarkEnd w:id="60"/>
    <w:bookmarkStart w:id="61" w:name="ethics-statement"/>
    <w:p>
      <w:pPr>
        <w:pStyle w:val="Heading1"/>
      </w:pPr>
      <w:r>
        <w:t xml:space="preserve">Ethics Statement</w:t>
      </w:r>
    </w:p>
    <w:p>
      <w:pPr>
        <w:pStyle w:val="FirstParagraph"/>
        <w:jc w:val="both"/>
      </w:pPr>
      <w:r>
        <w:t xml:space="preserve">This study is a secondary analysis of publicly available, de-identified</w:t>
      </w:r>
      <w:r>
        <w:t xml:space="preserve"> </w:t>
      </w:r>
      <w:r>
        <w:t xml:space="preserve">recordings; no new data were collected and no participant was contacted.</w:t>
      </w:r>
      <w:r>
        <w:t xml:space="preserve"> </w:t>
      </w:r>
      <w:r>
        <w:t xml:space="preserve">[Institutional statement on the need for ethics review to be added by the</w:t>
      </w:r>
      <w:r>
        <w:t xml:space="preserve"> </w:t>
      </w:r>
      <w:r>
        <w:t xml:space="preserve">authors.]</w:t>
      </w:r>
    </w:p>
    <w:bookmarkEnd w:id="61"/>
    <w:bookmarkStart w:id="65" w:name="appendix-a.-supplementary-derivations"/>
    <w:p>
      <w:pPr>
        <w:pStyle w:val="Heading1"/>
      </w:pPr>
      <w:r>
        <w:t xml:space="preserve">Appendix A. Supplementary Derivations</w:t>
      </w:r>
    </w:p>
    <w:bookmarkStart w:id="62" w:name="a.1-the-boundary-case-of-proposition-1"/>
    <w:p>
      <w:pPr>
        <w:pStyle w:val="Heading2"/>
      </w:pPr>
      <w:r>
        <w:t xml:space="preserve">A.1 The boundary case of Proposition 1</w:t>
      </w:r>
    </w:p>
    <w:p>
      <w:pPr>
        <w:pStyle w:val="FirstParagraph"/>
        <w:jc w:val="both"/>
      </w:pPr>
      <w:r>
        <w:t xml:space="preserve">An earlier version of this work wrote (3) as a strict inequality, which fails at</w:t>
      </w:r>
      <w:r>
        <w:t xml:space="preserve"> </w:t>
      </w:r>
      <w:r>
        <w:t xml:space="preserve">the boundary. At</w:t>
      </w:r>
      <w:r>
        <w:t xml:space="preserve"> </w:t>
      </w:r>
      <m:oMath>
        <m:r>
          <m:t>α</m:t>
        </m:r>
        <m:r>
          <m:rPr>
            <m:sty m:val="p"/>
          </m:rPr>
          <m:t>=</m:t>
        </m:r>
        <m:r>
          <m:t>1</m:t>
        </m:r>
        <m:r>
          <m:rPr>
            <m:sty m:val="p"/>
          </m:rPr>
          <m:t>/</m:t>
        </m:r>
        <m:r>
          <m:rPr>
            <m:sty m:val="p"/>
          </m:rPr>
          <m:t>(</m:t>
        </m:r>
        <m:sSub>
          <m:e>
            <m:r>
              <m:t>K</m:t>
            </m:r>
          </m:e>
          <m:sub>
            <m:r>
              <m:t>1</m:t>
            </m:r>
          </m:sub>
        </m:sSub>
        <m:r>
          <m:rPr>
            <m:sty m:val="p"/>
          </m:rPr>
          <m:t>+</m:t>
        </m:r>
        <m:r>
          <m:t>1</m:t>
        </m:r>
        <m:r>
          <m:rPr>
            <m:sty m:val="p"/>
          </m:rPr>
          <m:t>)</m:t>
        </m:r>
      </m:oMath>
      <w:r>
        <w:t xml:space="preserve"> </w:t>
      </w:r>
      <w:r>
        <w:t xml:space="preserve">the finite mass</w:t>
      </w:r>
      <w:r>
        <w:t xml:space="preserve"> </w:t>
      </w:r>
      <m:oMath>
        <m:sSub>
          <m:e>
            <m:r>
              <m:t>K</m:t>
            </m:r>
          </m:e>
          <m:sub>
            <m:r>
              <m:t>1</m:t>
            </m:r>
          </m:sub>
        </m:sSub>
        <m:r>
          <m:rPr>
            <m:sty m:val="p"/>
          </m:rPr>
          <m:t>/</m:t>
        </m:r>
        <m:r>
          <m:rPr>
            <m:sty m:val="p"/>
          </m:rPr>
          <m:t>(</m:t>
        </m:r>
        <m:sSub>
          <m:e>
            <m:r>
              <m:t>K</m:t>
            </m:r>
          </m:e>
          <m:sub>
            <m:r>
              <m:t>1</m:t>
            </m:r>
          </m:sub>
        </m:sSub>
        <m:r>
          <m:rPr>
            <m:sty m:val="p"/>
          </m:rPr>
          <m:t>+</m:t>
        </m:r>
        <m:r>
          <m:t>1</m:t>
        </m:r>
        <m:r>
          <m:rPr>
            <m:sty m:val="p"/>
          </m:rPr>
          <m:t>)</m:t>
        </m:r>
      </m:oMath>
      <w:r>
        <w:t xml:space="preserve"> </w:t>
      </w:r>
      <w:r>
        <w:t xml:space="preserve">is exactly</w:t>
      </w:r>
      <w:r>
        <w:t xml:space="preserve"> </w:t>
      </w:r>
      <m:oMath>
        <m:r>
          <m:t>1</m:t>
        </m:r>
        <m:r>
          <m:rPr>
            <m:sty m:val="p"/>
          </m:rPr>
          <m:t>−</m:t>
        </m:r>
        <m:r>
          <m:t>α</m:t>
        </m:r>
      </m:oMath>
      <w:r>
        <w:t xml:space="preserve">, the infimum is reached at</w:t>
      </w:r>
      <w:r>
        <w:t xml:space="preserve"> </w:t>
      </w:r>
      <m:oMath>
        <m:r>
          <m:t>M</m:t>
        </m:r>
      </m:oMath>
      <w:r>
        <w:t xml:space="preserve">, and the threshold is finite. A</w:t>
      </w:r>
      <w:r>
        <w:t xml:space="preserve"> </w:t>
      </w:r>
      <w:r>
        <w:t xml:space="preserve">simulation with</w:t>
      </w:r>
      <w:r>
        <w:t xml:space="preserve"> </w:t>
      </w:r>
      <m:oMath>
        <m:sSub>
          <m:e>
            <m:r>
              <m:t>K</m:t>
            </m:r>
          </m:e>
          <m:sub>
            <m:r>
              <m:t>1</m:t>
            </m:r>
          </m:sub>
        </m:sSub>
        <m:r>
          <m:rPr>
            <m:sty m:val="p"/>
          </m:rPr>
          <m:t>=</m:t>
        </m:r>
        <m:r>
          <m:t>19</m:t>
        </m:r>
      </m:oMath>
      <w:r>
        <w:t xml:space="preserve"> </w:t>
      </w:r>
      <w:r>
        <w:t xml:space="preserve">and</w:t>
      </w:r>
      <w:r>
        <w:t xml:space="preserve"> </w:t>
      </w:r>
      <m:oMath>
        <m:r>
          <m:t>α</m:t>
        </m:r>
        <m:r>
          <m:rPr>
            <m:sty m:val="p"/>
          </m:rPr>
          <m:t>=</m:t>
        </m:r>
        <m:r>
          <m:t>0.05</m:t>
        </m:r>
      </m:oMath>
      <w:r>
        <w:t xml:space="preserve"> </w:t>
      </w:r>
      <w:r>
        <w:t xml:space="preserve">yields an empirical coverage of</w:t>
      </w:r>
      <w:r>
        <w:t xml:space="preserve"> </w:t>
      </w:r>
      <m:oMath>
        <m:r>
          <m:t>0.9512</m:t>
        </m:r>
        <m:r>
          <m:rPr>
            <m:sty m:val="p"/>
          </m:rPr>
          <m:t>≥</m:t>
        </m:r>
        <m:r>
          <m:t>0.95</m:t>
        </m:r>
      </m:oMath>
      <w:r>
        <w:t xml:space="preserve">. Only the non-strict form is consistent with the split-conformal</w:t>
      </w:r>
      <w:r>
        <w:t xml:space="preserve"> </w:t>
      </w:r>
      <w:r>
        <w:t xml:space="preserve">case</w:t>
      </w:r>
      <w:r>
        <w:t xml:space="preserve"> </w:t>
      </w:r>
      <m:oMath>
        <m:sSub>
          <m:e>
            <m:r>
              <m:t>N</m:t>
            </m:r>
          </m:e>
          <m:sub>
            <m:r>
              <m:t>k</m:t>
            </m:r>
          </m:sub>
        </m:sSub>
        <m:r>
          <m:rPr>
            <m:sty m:val="p"/>
          </m:rPr>
          <m:t>=</m:t>
        </m:r>
        <m:r>
          <m:t>1</m:t>
        </m:r>
      </m:oMath>
      <w:r>
        <w:t xml:space="preserve">.</w:t>
      </w:r>
    </w:p>
    <w:bookmarkEnd w:id="62"/>
    <w:bookmarkStart w:id="63" w:name="a.2-variance-under-compound-symmetry"/>
    <w:p>
      <w:pPr>
        <w:pStyle w:val="Heading2"/>
      </w:pPr>
      <w:r>
        <w:t xml:space="preserve">A.2 Variance under compound symmetry</w:t>
      </w:r>
    </w:p>
    <w:p>
      <w:pPr>
        <w:pStyle w:val="FirstParagraph"/>
      </w:pPr>
      <w:r>
        <w:t xml:space="preserve">Under Assumption (A) of §3.2,</w:t>
      </w:r>
      <w:r>
        <w:t xml:space="preserve"> </w:t>
      </w:r>
      <m:oMath>
        <m:acc>
          <m:accPr>
            <m:chr m:val="̂"/>
          </m:accPr>
          <m:e>
            <m:r>
              <m:t>G</m:t>
            </m:r>
          </m:e>
        </m:acc>
        <m:r>
          <m:rPr>
            <m:sty m:val="p"/>
          </m:rPr>
          <m:t>(</m:t>
        </m:r>
        <m:r>
          <m:t>t</m:t>
        </m:r>
        <m:r>
          <m:rPr>
            <m:sty m:val="p"/>
          </m:rPr>
          <m:t>)</m:t>
        </m:r>
      </m:oMath>
      <w:r>
        <w:t xml:space="preserve"> </w:t>
      </w:r>
      <w:r>
        <w:t xml:space="preserve">has variance</w:t>
      </w:r>
    </w:p>
    <w:p>
      <w:pPr>
        <w:pStyle w:val="BodyText"/>
      </w:pPr>
      <m:oMathPara>
        <m:oMathParaPr>
          <m:jc m:val="center"/>
        </m:oMathParaPr>
        <m:oMath>
          <m:r>
            <m:rPr>
              <m:sty m:val="p"/>
            </m:rPr>
            <m:t>Var</m:t>
          </m:r>
          <m:d>
            <m:dPr>
              <m:begChr m:val="("/>
              <m:sepChr m:val=""/>
              <m:endChr m:val=")"/>
              <m:grow/>
            </m:dPr>
            <m:e>
              <m:acc>
                <m:accPr>
                  <m:chr m:val="̂"/>
                </m:accPr>
                <m:e>
                  <m:r>
                    <m:t>G</m:t>
                  </m:r>
                </m:e>
              </m:acc>
              <m:r>
                <m:rPr>
                  <m:sty m:val="p"/>
                </m:rPr>
                <m:t>(</m:t>
              </m:r>
              <m:r>
                <m:t>t</m:t>
              </m:r>
              <m:r>
                <m:rPr>
                  <m:sty m:val="p"/>
                </m:rPr>
                <m:t>)</m:t>
              </m:r>
            </m:e>
          </m:d>
          <m:r>
            <m:t> </m:t>
          </m:r>
          <m:r>
            <m:rPr>
              <m:sty m:val="p"/>
            </m:rPr>
            <m:t>=</m:t>
          </m:r>
          <m:r>
            <m:t> </m:t>
          </m:r>
          <m:f>
            <m:fPr>
              <m:type m:val="bar"/>
            </m:fPr>
            <m:num>
              <m:sSup>
                <m:e>
                  <m:r>
                    <m:t>σ</m:t>
                  </m:r>
                </m:e>
                <m:sup>
                  <m:r>
                    <m:t>2</m:t>
                  </m:r>
                </m:sup>
              </m:sSup>
              <m:r>
                <m:rPr>
                  <m:sty m:val="p"/>
                </m:rPr>
                <m:t>(</m:t>
              </m:r>
              <m:r>
                <m:t>t</m:t>
              </m:r>
              <m:r>
                <m:rPr>
                  <m:sty m:val="p"/>
                </m:rPr>
                <m:t>)</m:t>
              </m:r>
              <m:r>
                <m:t> </m:t>
              </m:r>
              <m:r>
                <m:rPr>
                  <m:sty m:val="p"/>
                </m:rPr>
                <m:t>[</m:t>
              </m:r>
              <m:r>
                <m:t> </m:t>
              </m:r>
              <m:r>
                <m:t>1</m:t>
              </m:r>
              <m:r>
                <m:rPr>
                  <m:sty m:val="p"/>
                </m:rPr>
                <m:t>+</m:t>
              </m:r>
              <m:r>
                <m:rPr>
                  <m:sty m:val="p"/>
                </m:rPr>
                <m:t>(</m:t>
              </m:r>
              <m:r>
                <m:t>H</m:t>
              </m:r>
              <m:r>
                <m:rPr>
                  <m:sty m:val="p"/>
                </m:rPr>
                <m:t>−</m:t>
              </m:r>
              <m:r>
                <m:t>1</m:t>
              </m:r>
              <m:r>
                <m:rPr>
                  <m:sty m:val="p"/>
                </m:rPr>
                <m:t>)</m:t>
              </m:r>
              <m:r>
                <m:t>ρ</m:t>
              </m:r>
              <m:r>
                <m:rPr>
                  <m:sty m:val="p"/>
                </m:rPr>
                <m:t>(</m:t>
              </m:r>
              <m:r>
                <m:t>t</m:t>
              </m:r>
              <m:r>
                <m:rPr>
                  <m:sty m:val="p"/>
                </m:rPr>
                <m:t>)</m:t>
              </m:r>
              <m:r>
                <m:t> </m:t>
              </m:r>
              <m:r>
                <m:rPr>
                  <m:sty m:val="p"/>
                </m:rPr>
                <m:t>]</m:t>
              </m:r>
            </m:num>
            <m:den>
              <m:sSub>
                <m:e>
                  <m:r>
                    <m:t>K</m:t>
                  </m:r>
                </m:e>
                <m:sub>
                  <m:r>
                    <m:t>1</m:t>
                  </m:r>
                </m:sub>
              </m:sSub>
              <m:r>
                <m:t>H</m:t>
              </m:r>
            </m:den>
          </m:f>
          <m:r>
            <m:rPr>
              <m:sty m:val="p"/>
            </m:rPr>
            <m:t>,</m:t>
          </m:r>
          <m:r>
            <m:t>  </m:t>
          </m:r>
          <m:sSup>
            <m:e>
              <m:r>
                <m:t>σ</m:t>
              </m:r>
            </m:e>
            <m:sup>
              <m:r>
                <m:t>2</m:t>
              </m:r>
            </m:sup>
          </m:sSup>
          <m:r>
            <m:rPr>
              <m:sty m:val="p"/>
            </m:rPr>
            <m:t>(</m:t>
          </m:r>
          <m:r>
            <m:t>t</m:t>
          </m:r>
          <m:r>
            <m:rPr>
              <m:sty m:val="p"/>
            </m:rPr>
            <m:t>)</m:t>
          </m:r>
          <m:r>
            <m:rPr>
              <m:sty m:val="p"/>
            </m:rPr>
            <m:t>=</m:t>
          </m:r>
          <m:r>
            <m:t>F</m:t>
          </m:r>
          <m:r>
            <m:rPr>
              <m:sty m:val="p"/>
            </m:rPr>
            <m:t>(</m:t>
          </m:r>
          <m:r>
            <m:t>t</m:t>
          </m:r>
          <m:r>
            <m:rPr>
              <m:sty m:val="p"/>
            </m:rPr>
            <m:t>)</m:t>
          </m:r>
          <m:r>
            <m:rPr>
              <m:sty m:val="p"/>
            </m:rPr>
            <m:t>{</m:t>
          </m:r>
          <m:r>
            <m:t>1</m:t>
          </m:r>
          <m:r>
            <m:rPr>
              <m:sty m:val="p"/>
            </m:rPr>
            <m:t>−</m:t>
          </m:r>
          <m:r>
            <m:t>F</m:t>
          </m:r>
          <m:r>
            <m:rPr>
              <m:sty m:val="p"/>
            </m:rPr>
            <m:t>(</m:t>
          </m:r>
          <m:r>
            <m:t>t</m:t>
          </m:r>
          <m:r>
            <m:rPr>
              <m:sty m:val="p"/>
            </m:rPr>
            <m:t>)</m:t>
          </m:r>
          <m:r>
            <m:rPr>
              <m:sty m:val="p"/>
            </m:rPr>
            <m:t>}</m:t>
          </m:r>
          <m:r>
            <m:rPr>
              <m:sty m:val="p"/>
            </m:rPr>
            <m:t>.</m:t>
          </m:r>
          <m:r>
            <m:t>  </m:t>
          </m:r>
          <m:r>
            <m:rPr>
              <m:nor/>
              <m:sty m:val="p"/>
            </m:rPr>
            <m:t>(A.1)</m:t>
          </m:r>
        </m:oMath>
      </m:oMathPara>
    </w:p>
    <w:p>
      <w:pPr>
        <w:pStyle w:val="FirstParagraph"/>
        <w:jc w:val="both"/>
      </w:pPr>
      <w:r>
        <w:t xml:space="preserve">As</w:t>
      </w:r>
      <w:r>
        <w:t xml:space="preserve"> </w:t>
      </w:r>
      <m:oMath>
        <m:sSub>
          <m:e>
            <m:r>
              <m:t>N</m:t>
            </m:r>
          </m:e>
          <m:sub>
            <m:r>
              <m:t>k</m:t>
            </m:r>
          </m:sub>
        </m:sSub>
        <m:r>
          <m:rPr>
            <m:sty m:val="p"/>
          </m:rPr>
          <m:t>→</m:t>
        </m:r>
        <m:r>
          <m:rPr>
            <m:sty m:val="p"/>
          </m:rPr>
          <m:t>∞</m:t>
        </m:r>
      </m:oMath>
      <w:r>
        <w:t xml:space="preserve"> </w:t>
      </w:r>
      <w:r>
        <w:t xml:space="preserve">this tends to</w:t>
      </w:r>
      <w:r>
        <w:t xml:space="preserve"> </w:t>
      </w:r>
      <m:oMath>
        <m:sSup>
          <m:e>
            <m:r>
              <m:t>σ</m:t>
            </m:r>
          </m:e>
          <m:sup>
            <m:r>
              <m:t>2</m:t>
            </m:r>
          </m:sup>
        </m:sSup>
        <m:r>
          <m:t>ρ</m:t>
        </m:r>
        <m:r>
          <m:rPr>
            <m:sty m:val="p"/>
          </m:rPr>
          <m:t>/</m:t>
        </m:r>
        <m:sSub>
          <m:e>
            <m:r>
              <m:t>K</m:t>
            </m:r>
          </m:e>
          <m:sub>
            <m:r>
              <m:t>1</m:t>
            </m:r>
          </m:sub>
        </m:sSub>
      </m:oMath>
      <w:r>
        <w:t xml:space="preserve">. The floor is a feature of</w:t>
      </w:r>
      <w:r>
        <w:t xml:space="preserve"> </w:t>
      </w:r>
      <w:r>
        <w:t xml:space="preserve">compound symmetry rather than of clustered data in general: when correlation</w:t>
      </w:r>
      <w:r>
        <w:t xml:space="preserve"> </w:t>
      </w:r>
      <w:r>
        <w:t xml:space="preserve">decays with distance, as is plausible for consecutive beats in a long Holter</w:t>
      </w:r>
      <w:r>
        <w:t xml:space="preserve"> </w:t>
      </w:r>
      <w:r>
        <w:t xml:space="preserve">record, the average pairwise correlation may shrink as</w:t>
      </w:r>
      <w:r>
        <w:t xml:space="preserve"> </w:t>
      </w:r>
      <m:oMath>
        <m:sSub>
          <m:e>
            <m:r>
              <m:t>N</m:t>
            </m:r>
          </m:e>
          <m:sub>
            <m:r>
              <m:t>k</m:t>
            </m:r>
          </m:sub>
        </m:sSub>
      </m:oMath>
      <w:r>
        <w:t xml:space="preserve"> </w:t>
      </w:r>
      <w:r>
        <w:t xml:space="preserve">grows and the floor</w:t>
      </w:r>
      <w:r>
        <w:t xml:space="preserve"> </w:t>
      </w:r>
      <w:r>
        <w:t xml:space="preserve">vanishes. We make no claim outside (A).</w:t>
      </w:r>
    </w:p>
    <w:bookmarkEnd w:id="63"/>
    <w:bookmarkStart w:id="64" w:name="a.3-equal-weighting-in-hcp"/>
    <w:p>
      <w:pPr>
        <w:pStyle w:val="Heading2"/>
      </w:pPr>
      <w:r>
        <w:t xml:space="preserve">A.3 Equal weighting in HCP</w:t>
      </w:r>
    </w:p>
    <w:p>
      <w:pPr>
        <w:pStyle w:val="FirstParagraph"/>
        <w:jc w:val="both"/>
      </w:pPr>
      <w:r>
        <w:t xml:space="preserve">Cluster-randomized trials compare equal and size-proportional weighting of</w:t>
      </w:r>
      <w:r>
        <w:t xml:space="preserve"> </w:t>
      </w:r>
      <w:r>
        <w:t xml:space="preserve">cluster means, and equal weighting is known to lose efficiency when cluster sizes</w:t>
      </w:r>
      <w:r>
        <w:t xml:space="preserve"> </w:t>
      </w:r>
      <w:r>
        <w:t xml:space="preserve">vary [38], [39]. In HCP it cannot be replaced: the practitioner is tied to the</w:t>
      </w:r>
      <w:r>
        <w:t xml:space="preserve"> </w:t>
      </w:r>
      <w:r>
        <w:t xml:space="preserve">estimator that cluster-sampling theory regards as most sensitive to block</w:t>
      </w:r>
      <w:r>
        <w:t xml:space="preserve"> </w:t>
      </w:r>
      <w:r>
        <w:t xml:space="preserve">imbalance, without access to the standard remedy. We state this as an</w:t>
      </w:r>
      <w:r>
        <w:t xml:space="preserve"> </w:t>
      </w:r>
      <w:r>
        <w:t xml:space="preserve">observation and do not prove that equal weights are the only valid choice. On</w:t>
      </w:r>
      <w:r>
        <w:t xml:space="preserve"> </w:t>
      </w:r>
      <w:r>
        <w:t xml:space="preserve">PTB-XL the two design effects of (4) differ by a factor of 15.7 at the site</w:t>
      </w:r>
      <w:r>
        <w:t xml:space="preserve"> </w:t>
      </w:r>
      <w:r>
        <w:t xml:space="preserve">level, while on</w:t>
      </w:r>
      <w:r>
        <w:t xml:space="preserve"> </w:t>
      </w:r>
      <w:r>
        <w:rPr>
          <w:rStyle w:val="VerbatimChar"/>
        </w:rPr>
        <w:t xml:space="preserve">strat_fold</w:t>
      </w:r>
      <w:r>
        <w:t xml:space="preserve">, whose blocks are almost uniform by construction,</w:t>
      </w:r>
      <w:r>
        <w:t xml:space="preserve"> </w:t>
      </w:r>
      <w:r>
        <w:t xml:space="preserve">their ratio is 1.000, which serves as an internal check of the computation.</w:t>
      </w:r>
    </w:p>
    <w:p>
      <w:pPr>
        <w:pStyle w:val="BodyText"/>
        <w:jc w:val="both"/>
      </w:pPr>
      <w:r>
        <w:t xml:space="preserve">Departing from equal weights can break the guarantee, not merely cost</w:t>
      </w:r>
      <w:r>
        <w:t xml:space="preserve"> </w:t>
      </w:r>
      <w:r>
        <w:t xml:space="preserve">efficiency. Take</w:t>
      </w:r>
      <w:r>
        <w:t xml:space="preserve"> </w:t>
      </w:r>
      <m:oMath>
        <m:sSub>
          <m:e>
            <m:r>
              <m:t>K</m:t>
            </m:r>
          </m:e>
          <m:sub>
            <m:r>
              <m:t>1</m:t>
            </m:r>
          </m:sub>
        </m:sSub>
        <m:r>
          <m:rPr>
            <m:sty m:val="p"/>
          </m:rPr>
          <m:t>=</m:t>
        </m:r>
        <m:r>
          <m:t>2</m:t>
        </m:r>
      </m:oMath>
      <w:r>
        <w:t xml:space="preserve"> </w:t>
      </w:r>
      <w:r>
        <w:t xml:space="preserve">singleton blocks and</w:t>
      </w:r>
      <w:r>
        <w:t xml:space="preserve"> </w:t>
      </w:r>
      <m:oMath>
        <m:r>
          <m:t>α</m:t>
        </m:r>
        <m:r>
          <m:rPr>
            <m:sty m:val="p"/>
          </m:rPr>
          <m:t>=</m:t>
        </m:r>
        <m:r>
          <m:t>1</m:t>
        </m:r>
        <m:r>
          <m:rPr>
            <m:sty m:val="p"/>
          </m:rPr>
          <m:t>/</m:t>
        </m:r>
        <m:r>
          <m:t>3</m:t>
        </m:r>
      </m:oMath>
      <w:r>
        <w:t xml:space="preserve">. HCP assigns mass</w:t>
      </w:r>
      <w:r>
        <w:t xml:space="preserve"> </w:t>
      </w:r>
      <m:oMath>
        <m:f>
          <m:fPr>
            <m:type m:val="lin"/>
          </m:fPr>
          <m:num>
            <m:r>
              <m:t>1</m:t>
            </m:r>
          </m:num>
          <m:den>
            <m:r>
              <m:t>3</m:t>
            </m:r>
          </m:den>
        </m:f>
      </m:oMath>
      <w:r>
        <w:t xml:space="preserve"> </w:t>
      </w:r>
      <w:r>
        <w:t xml:space="preserve">to each</w:t>
      </w:r>
      <w:r>
        <w:t xml:space="preserve"> </w:t>
      </w:r>
      <w:r>
        <w:t xml:space="preserve">calibration score and to</w:t>
      </w:r>
      <w:r>
        <w:t xml:space="preserve"> </w:t>
      </w:r>
      <m:oMath>
        <m:r>
          <m:rPr>
            <m:sty m:val="p"/>
          </m:rPr>
          <m:t>+</m:t>
        </m:r>
        <m:r>
          <m:rPr>
            <m:sty m:val="p"/>
          </m:rPr>
          <m:t>∞</m:t>
        </m:r>
      </m:oMath>
      <w:r>
        <w:t xml:space="preserve">, so the threshold is</w:t>
      </w:r>
      <w:r>
        <w:t xml:space="preserve"> </w:t>
      </w:r>
      <m:oMath>
        <m:r>
          <m:rPr>
            <m:sty m:val="p"/>
          </m:rPr>
          <m:t>max</m:t>
        </m:r>
        <m:r>
          <m:rPr>
            <m:sty m:val="p"/>
          </m:rPr>
          <m:t>(</m:t>
        </m:r>
        <m:sSub>
          <m:e>
            <m:r>
              <m:t>s</m:t>
            </m:r>
          </m:e>
          <m:sub>
            <m:r>
              <m:t>1</m:t>
            </m:r>
          </m:sub>
        </m:sSub>
        <m:r>
          <m:rPr>
            <m:sty m:val="p"/>
          </m:rPr>
          <m:t>,</m:t>
        </m:r>
        <m:sSub>
          <m:e>
            <m:r>
              <m:t>s</m:t>
            </m:r>
          </m:e>
          <m:sub>
            <m:r>
              <m:t>2</m:t>
            </m:r>
          </m:sub>
        </m:sSub>
        <m:r>
          <m:rPr>
            <m:sty m:val="p"/>
          </m:rPr>
          <m:t>)</m:t>
        </m:r>
      </m:oMath>
      <w:r>
        <w:t xml:space="preserve"> </w:t>
      </w:r>
      <w:r>
        <w:t xml:space="preserve">and the</w:t>
      </w:r>
      <w:r>
        <w:t xml:space="preserve"> </w:t>
      </w:r>
      <w:r>
        <w:t xml:space="preserve">coverage is exactly</w:t>
      </w:r>
      <w:r>
        <w:t xml:space="preserve"> </w:t>
      </w:r>
      <m:oMath>
        <m:f>
          <m:fPr>
            <m:type m:val="lin"/>
          </m:fPr>
          <m:num>
            <m:r>
              <m:t>2</m:t>
            </m:r>
          </m:num>
          <m:den>
            <m:r>
              <m:t>3</m:t>
            </m:r>
          </m:den>
        </m:f>
      </m:oMath>
      <w:r>
        <w:t xml:space="preserve">. Shifting the calibration mass to</w:t>
      </w:r>
      <w:r>
        <w:t xml:space="preserve"> </w:t>
      </w:r>
      <m:oMath>
        <m:r>
          <m:rPr>
            <m:sty m:val="p"/>
          </m:rPr>
          <m:t>(</m:t>
        </m:r>
        <m:f>
          <m:fPr>
            <m:type m:val="lin"/>
          </m:fPr>
          <m:num>
            <m:r>
              <m:t>2</m:t>
            </m:r>
          </m:num>
          <m:den>
            <m:r>
              <m:t>3</m:t>
            </m:r>
          </m:den>
        </m:f>
        <m:r>
          <m:rPr>
            <m:sty m:val="p"/>
          </m:rPr>
          <m:t>,</m:t>
        </m:r>
        <m:r>
          <m:t>0</m:t>
        </m:r>
        <m:r>
          <m:rPr>
            <m:sty m:val="p"/>
          </m:rPr>
          <m:t>)</m:t>
        </m:r>
      </m:oMath>
      <w:r>
        <w:t xml:space="preserve"> </w:t>
      </w:r>
      <w:r>
        <w:t xml:space="preserve">while leaving</w:t>
      </w:r>
      <w:r>
        <w:t xml:space="preserve"> </w:t>
      </w:r>
      <m:oMath>
        <m:f>
          <m:fPr>
            <m:type m:val="lin"/>
          </m:fPr>
          <m:num>
            <m:r>
              <m:t>1</m:t>
            </m:r>
          </m:num>
          <m:den>
            <m:r>
              <m:t>3</m:t>
            </m:r>
          </m:den>
        </m:f>
      </m:oMath>
      <w:r>
        <w:t xml:space="preserve"> </w:t>
      </w:r>
      <w:r>
        <w:t xml:space="preserve">at</w:t>
      </w:r>
      <w:r>
        <w:t xml:space="preserve"> </w:t>
      </w:r>
      <m:oMath>
        <m:r>
          <m:rPr>
            <m:sty m:val="p"/>
          </m:rPr>
          <m:t>+</m:t>
        </m:r>
        <m:r>
          <m:rPr>
            <m:sty m:val="p"/>
          </m:rPr>
          <m:t>∞</m:t>
        </m:r>
      </m:oMath>
      <w:r>
        <w:t xml:space="preserve"> </w:t>
      </w:r>
      <w:r>
        <w:t xml:space="preserve">makes the threshold</w:t>
      </w:r>
      <w:r>
        <w:t xml:space="preserve"> </w:t>
      </w:r>
      <m:oMath>
        <m:sSub>
          <m:e>
            <m:r>
              <m:t>s</m:t>
            </m:r>
          </m:e>
          <m:sub>
            <m:r>
              <m:t>1</m:t>
            </m:r>
          </m:sub>
        </m:sSub>
      </m:oMath>
      <w:r>
        <w:t xml:space="preserve">, and for continuous</w:t>
      </w:r>
      <w:r>
        <w:t xml:space="preserve"> </w:t>
      </w:r>
      <w:r>
        <w:t xml:space="preserve">exchangeable scores the coverage drops to</w:t>
      </w:r>
      <w:r>
        <w:t xml:space="preserve"> </w:t>
      </w:r>
      <m:oMath>
        <m:r>
          <m:rPr>
            <m:scr m:val="double-struck"/>
            <m:sty m:val="p"/>
          </m:rPr>
          <m:t>P</m:t>
        </m:r>
        <m:r>
          <m:rPr>
            <m:sty m:val="p"/>
          </m:rPr>
          <m:t>(</m:t>
        </m:r>
        <m:sSub>
          <m:e>
            <m:r>
              <m:t>s</m:t>
            </m:r>
          </m:e>
          <m:sub>
            <m:r>
              <m:t>0</m:t>
            </m:r>
          </m:sub>
        </m:sSub>
        <m:r>
          <m:rPr>
            <m:sty m:val="p"/>
          </m:rPr>
          <m:t>≤</m:t>
        </m:r>
        <m:sSub>
          <m:e>
            <m:r>
              <m:t>s</m:t>
            </m:r>
          </m:e>
          <m:sub>
            <m:r>
              <m:t>1</m:t>
            </m:r>
          </m:sub>
        </m:sSub>
        <m:r>
          <m:rPr>
            <m:sty m:val="p"/>
          </m:rPr>
          <m:t>)</m:t>
        </m:r>
        <m:r>
          <m:rPr>
            <m:sty m:val="p"/>
          </m:rPr>
          <m:t>=</m:t>
        </m:r>
        <m:f>
          <m:fPr>
            <m:type m:val="lin"/>
          </m:fPr>
          <m:num>
            <m:r>
              <m:t>1</m:t>
            </m:r>
          </m:num>
          <m:den>
            <m:r>
              <m:t>2</m:t>
            </m:r>
          </m:den>
        </m:f>
        <m:r>
          <m:rPr>
            <m:sty m:val="p"/>
          </m:rPr>
          <m:t>&lt;</m:t>
        </m:r>
        <m:f>
          <m:fPr>
            <m:type m:val="lin"/>
          </m:fPr>
          <m:num>
            <m:r>
              <m:t>2</m:t>
            </m:r>
          </m:num>
          <m:den>
            <m:r>
              <m:t>3</m:t>
            </m:r>
          </m:den>
        </m:f>
      </m:oMath>
      <w:r>
        <w:t xml:space="preserve">.</w:t>
      </w:r>
    </w:p>
    <w:bookmarkEnd w:id="64"/>
    <w:bookmarkEnd w:id="65"/>
    <w:bookmarkStart w:id="66" w:name="X06db9a02045705c8b7d21c68ec78218971b4832"/>
    <w:p>
      <w:pPr>
        <w:pStyle w:val="Heading1"/>
      </w:pPr>
      <w:r>
        <w:t xml:space="preserve">Appendix B. Interim Conclusions on MIT-BIH</w:t>
      </w:r>
    </w:p>
    <w:p>
      <w:pPr>
        <w:pStyle w:val="FirstParagraph"/>
        <w:jc w:val="both"/>
      </w:pPr>
      <w:r>
        <w:t xml:space="preserve">The reading of the MIT-BIH evidence went through three revisions, and its</w:t>
      </w:r>
      <w:r>
        <w:t xml:space="preserve"> </w:t>
      </w:r>
      <w:r>
        <w:t xml:space="preserve">statistical strength through a fourth (§6.4). The</w:t>
      </w:r>
      <w:r>
        <w:t xml:space="preserve"> </w:t>
      </w:r>
      <w:r>
        <w:t xml:space="preserve">second revision was our own mistake: it set analyses with different calibration</w:t>
      </w:r>
      <w:r>
        <w:t xml:space="preserve"> </w:t>
      </w:r>
      <w:r>
        <w:t xml:space="preserve">sizes (about 24,800 against 16,500 beats) side by side and ascribed the</w:t>
      </w:r>
      <w:r>
        <w:t xml:space="preserve"> </w:t>
      </w:r>
      <w:r>
        <w:t xml:space="preserve">difference to block balance. Table IX records each interim conclusion alongside</w:t>
      </w:r>
      <w:r>
        <w:t xml:space="preserve"> </w:t>
      </w:r>
      <w:r>
        <w:t xml:space="preserve">the control that overturned it.</w:t>
      </w:r>
    </w:p>
    <w:p>
      <w:pPr>
        <w:pStyle w:val="BodyText"/>
        <w:keepNext/>
        <w:spacing w:before="160"/>
        <w:jc w:val="center"/>
      </w:pPr>
      <w:r/>
      <w:r>
        <w:rPr>
          <w:sz w:val="18"/>
        </w:rPr>
        <w:t>TABLE IX</w:t>
      </w:r>
      <w:r>
        <w:br/>
      </w:r>
      <w:r>
        <w:rPr>
          <w:sz w:val="16"/>
        </w:rPr>
        <w:t>INTERIM CONCLUSIONS ON MIT-BIH AND THE CONTROL THAT OVERTURNED EACH.</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2640"/>
        <w:gridCol w:w="2640"/>
        <w:gridCol w:w="2640"/>
      </w:tblGrid>
      <w:tr>
        <w:trPr>
          <w:tblHeader w:val="on"/>
          <w:cantSplit/>
        </w:trPr>
        <w:tc>
          <w:tcPr/>
          <w:p>
            <w:pPr>
              <w:pStyle w:val="Compact"/>
              <w:keepNext/>
            </w:pPr>
            <w:r>
              <w:rPr>
                <w:b/>
                <w:sz w:val="17"/>
              </w:rPr>
              <w:t xml:space="preserve">Stage</w:t>
            </w:r>
          </w:p>
        </w:tc>
        <w:tc>
          <w:tcPr/>
          <w:p>
            <w:pPr>
              <w:pStyle w:val="Compact"/>
              <w:keepNext/>
            </w:pPr>
            <w:r>
              <w:rPr>
                <w:b/>
                <w:sz w:val="17"/>
              </w:rPr>
              <w:t xml:space="preserve">Interim conclusion</w:t>
            </w:r>
          </w:p>
        </w:tc>
        <w:tc>
          <w:tcPr/>
          <w:p>
            <w:pPr>
              <w:pStyle w:val="Compact"/>
              <w:keepNext/>
            </w:pPr>
            <w:r>
              <w:rPr>
                <w:b/>
                <w:sz w:val="17"/>
              </w:rPr>
              <w:t xml:space="preserve">Overturned by</w:t>
            </w:r>
          </w:p>
        </w:tc>
      </w:tr>
      <w:tr>
        <w:trPr>
          <w:cantSplit/>
        </w:trPr>
        <w:tc>
          <w:tcPr/>
          <w:p>
            <w:pPr>
              <w:pStyle w:val="Compact"/>
              <w:keepNext/>
            </w:pPr>
            <w:r>
              <w:rPr>
                <w:sz w:val="17"/>
              </w:rPr>
              <w:t xml:space="preserve">1</w:t>
            </w:r>
          </w:p>
        </w:tc>
        <w:tc>
          <w:tcPr/>
          <w:p>
            <w:pPr>
              <w:pStyle w:val="Compact"/>
              <w:keepNext/>
            </w:pPr>
            <w:r>
              <w:rPr>
                <w:sz w:val="17"/>
              </w:rPr>
              <w:t xml:space="preserve">HCP improves on naive split conformal</w:t>
            </w:r>
          </w:p>
        </w:tc>
        <w:tc>
          <w:tcPr/>
          <w:p>
            <w:pPr>
              <w:pStyle w:val="Compact"/>
              <w:keepNext/>
            </w:pPr>
            <w:r>
              <w:rPr>
                <w:sz w:val="17"/>
              </w:rPr>
              <w:t xml:space="preserve">Permutation control: 81–107% of the gap is mechanical</w:t>
            </w:r>
          </w:p>
        </w:tc>
      </w:tr>
      <w:tr>
        <w:trPr>
          <w:cantSplit/>
        </w:trPr>
        <w:tc>
          <w:tcPr/>
          <w:p>
            <w:pPr>
              <w:pStyle w:val="Compact"/>
              <w:keepNext/>
            </w:pPr>
            <w:r>
              <w:rPr>
                <w:sz w:val="17"/>
              </w:rPr>
              <w:t xml:space="preserve">2</w:t>
            </w:r>
          </w:p>
        </w:tc>
        <w:tc>
          <w:tcPr/>
          <w:p>
            <w:pPr>
              <w:pStyle w:val="Compact"/>
              <w:keepNext/>
            </w:pPr>
            <w:r>
              <w:rPr>
                <w:sz w:val="17"/>
              </w:rPr>
              <w:t xml:space="preserve">The deficit is driven by block-size imbalance</w:t>
            </w:r>
          </w:p>
        </w:tc>
        <w:tc>
          <w:tcPr/>
          <w:p>
            <w:pPr>
              <w:pStyle w:val="Compact"/>
              <w:keepNext/>
            </w:pPr>
            <w:r>
              <w:rPr>
                <w:sz w:val="17"/>
              </w:rPr>
              <w:t xml:space="preserve">2×2 factorial: imbalance significant at 0/3 levels, clustering at 3/3</w:t>
            </w:r>
          </w:p>
        </w:tc>
      </w:tr>
      <w:tr>
        <w:trPr>
          <w:cantSplit/>
        </w:trPr>
        <w:tc>
          <w:tcPr/>
          <w:p>
            <w:pPr>
              <w:pStyle w:val="Compact"/>
              <w:keepNext/>
            </w:pPr>
            <w:r>
              <w:rPr>
                <w:sz w:val="17"/>
              </w:rPr>
              <w:t xml:space="preserve">3</w:t>
            </w:r>
          </w:p>
        </w:tc>
        <w:tc>
          <w:tcPr/>
          <w:p>
            <w:pPr>
              <w:pStyle w:val="Compact"/>
              <w:keepNext/>
            </w:pPr>
            <w:r>
              <w:rPr>
                <w:sz w:val="17"/>
              </w:rPr>
              <w:t xml:space="preserve">The deficit increases monotonically with ICC</w:t>
            </w:r>
          </w:p>
        </w:tc>
        <w:tc>
          <w:tcPr/>
          <w:p>
            <w:pPr>
              <w:pStyle w:val="Compact"/>
              <w:keepNext/>
            </w:pPr>
            <w:r>
              <w:rPr>
                <w:sz w:val="17"/>
              </w:rPr>
              <w:t xml:space="preserve">PTB-XL: ICC 0.35 yet no deficit</w:t>
            </w:r>
          </w:p>
        </w:tc>
      </w:tr>
      <w:tr>
        <w:trPr>
          <w:cantSplit/>
        </w:trPr>
        <w:tc>
          <w:tcPr/>
          <w:p>
            <w:pPr>
              <w:pStyle w:val="Compact"/>
              <w:keepNext/>
            </w:pPr>
            <w:r>
              <w:rPr>
                <w:sz w:val="17"/>
              </w:rPr>
              <w:t xml:space="preserve">4</w:t>
            </w:r>
          </w:p>
        </w:tc>
        <w:tc>
          <w:tcPr/>
          <w:p>
            <w:pPr>
              <w:pStyle w:val="Compact"/>
              <w:keepNext/>
            </w:pPr>
            <w:r>
              <w:rPr>
                <w:sz w:val="17"/>
              </w:rPr>
              <w:t xml:space="preserve">The deficit tracks</w:t>
            </w:r>
            <w:r>
              <w:rPr>
                <w:sz w:val="17"/>
              </w:rPr>
              <w:t xml:space="preserve"> </w:t>
            </w:r>
            <m:oMath>
              <m:r>
                <m:t>1</m:t>
              </m:r>
              <m:r>
                <m:rPr>
                  <m:sty m:val="p"/>
                </m:rPr>
                <m:t>+</m:t>
              </m:r>
              <m:r>
                <m:rPr>
                  <m:sty m:val="p"/>
                </m:rPr>
                <m:t>(</m:t>
              </m:r>
              <m:r>
                <m:t>H</m:t>
              </m:r>
              <m:r>
                <m:rPr>
                  <m:sty m:val="p"/>
                </m:rPr>
                <m:t>−</m:t>
              </m:r>
              <m:r>
                <m:t>1</m:t>
              </m:r>
              <m:r>
                <m:rPr>
                  <m:sty m:val="p"/>
                </m:rPr>
                <m:t>)</m:t>
              </m:r>
              <m:r>
                <m:t>ρ</m:t>
              </m:r>
            </m:oMath>
          </w:p>
        </w:tc>
        <w:tc>
          <w:tcPr/>
          <w:p>
            <w:pPr>
              <w:pStyle w:val="Compact"/>
              <w:keepNext/>
            </w:pPr>
            <w:r>
              <w:rPr>
                <w:sz w:val="17"/>
              </w:rPr>
              <w:t xml:space="preserve">— stands</w:t>
            </w:r>
          </w:p>
        </w:tc>
      </w:tr>
      <w:tr>
        <w:trPr>
          <w:cantSplit/>
        </w:trPr>
        <w:tc>
          <w:tcPr/>
          <w:p>
            <w:pPr>
              <w:pStyle w:val="Compact"/>
            </w:pPr>
            <w:r>
              <w:rPr>
                <w:sz w:val="17"/>
              </w:rPr>
              <w:t xml:space="preserve">5</w:t>
            </w:r>
          </w:p>
        </w:tc>
        <w:tc>
          <w:tcPr/>
          <w:p>
            <w:pPr>
              <w:pStyle w:val="Compact"/>
            </w:pPr>
            <w:r>
              <w:rPr>
                <w:sz w:val="17"/>
              </w:rPr>
              <w:t xml:space="preserve">The B1 deficit against the permutation null is significant for two of three backbones</w:t>
            </w:r>
          </w:p>
        </w:tc>
        <w:tc>
          <w:tcPr/>
          <w:p>
            <w:pPr>
              <w:pStyle w:val="Compact"/>
            </w:pPr>
            <w:r>
              <w:rPr>
                <w:sz w:val="17"/>
              </w:rPr>
              <w:t xml:space="preserve">Record-level jackknife over the 22 DS2 records: every 95% CI includes zero</w:t>
            </w:r>
          </w:p>
        </w:tc>
      </w:tr>
    </w:tbl>
    <w:bookmarkEnd w:id="66"/>
    <w:bookmarkStart w:id="67" w:name="Xbf53aa51c2c3289f595a160de988653028afcc2"/>
    <w:p>
      <w:pPr>
        <w:pStyle w:val="Heading1"/>
      </w:pPr>
      <w:r>
        <w:t xml:space="preserve">Appendix C. Observability of Blocks in Challenge 2021</w:t>
      </w:r>
    </w:p>
    <w:p>
      <w:pPr>
        <w:pStyle w:val="FirstParagraph"/>
        <w:jc w:val="both"/>
      </w:pPr>
      <w:r>
        <w:t xml:space="preserve">The seven non-duplicate source folders of the PhysioNet/CinC Challenge 2021</w:t>
      </w:r>
      <w:r>
        <w:t xml:space="preserve"> </w:t>
      </w:r>
      <w:r>
        <w:t xml:space="preserve">collection [17] hold 66,416 records, ranging from</w:t>
      </w:r>
      <w:r>
        <w:t xml:space="preserve"> </w:t>
      </w:r>
      <w:r>
        <w:rPr>
          <w:rStyle w:val="VerbatimChar"/>
        </w:rPr>
        <w:t xml:space="preserve">ningbo</w:t>
      </w:r>
      <w:r>
        <w:t xml:space="preserve"> </w:t>
      </w:r>
      <w:r>
        <w:t xml:space="preserve">(34,905) to</w:t>
      </w:r>
      <w:r>
        <w:t xml:space="preserve"> </w:t>
      </w:r>
      <w:r>
        <w:rPr>
          <w:rStyle w:val="VerbatimChar"/>
        </w:rPr>
        <w:t xml:space="preserve">st_petersburg_incart</w:t>
      </w:r>
      <w:r>
        <w:t xml:space="preserve"> </w:t>
      </w:r>
      <w:r>
        <w:t xml:space="preserve">(74); its</w:t>
      </w:r>
      <w:r>
        <w:t xml:space="preserve"> </w:t>
      </w:r>
      <w:r>
        <w:rPr>
          <w:rStyle w:val="VerbatimChar"/>
        </w:rPr>
        <w:t xml:space="preserve">ptb-xl</w:t>
      </w:r>
      <w:r>
        <w:t xml:space="preserve"> </w:t>
      </w:r>
      <w:r>
        <w:t xml:space="preserve">folder (21,837 records) repeats PTB-XL,</w:t>
      </w:r>
      <w:r>
        <w:t xml:space="preserve"> </w:t>
      </w:r>
      <w:r>
        <w:t xml:space="preserve">and the two totals give the official 88,253. In a sample of 42 headers drawn from</w:t>
      </w:r>
      <w:r>
        <w:t xml:space="preserve"> </w:t>
      </w:r>
      <w:r>
        <w:t xml:space="preserve">all seven sources, none of the fields (</w:t>
      </w:r>
      <w:r>
        <w:rPr>
          <w:rStyle w:val="VerbatimChar"/>
        </w:rPr>
        <w:t xml:space="preserve">#Age</w:t>
      </w:r>
      <w:r>
        <w:t xml:space="preserve">,</w:t>
      </w:r>
      <w:r>
        <w:t xml:space="preserve"> </w:t>
      </w:r>
      <w:r>
        <w:rPr>
          <w:rStyle w:val="VerbatimChar"/>
        </w:rPr>
        <w:t xml:space="preserve">#Sex</w:t>
      </w:r>
      <w:r>
        <w:t xml:space="preserve">,</w:t>
      </w:r>
      <w:r>
        <w:t xml:space="preserve"> </w:t>
      </w:r>
      <w:r>
        <w:rPr>
          <w:rStyle w:val="VerbatimChar"/>
        </w:rPr>
        <w:t xml:space="preserve">#Dx</w:t>
      </w:r>
      <w:r>
        <w:t xml:space="preserve">,</w:t>
      </w:r>
      <w:r>
        <w:t xml:space="preserve"> </w:t>
      </w:r>
      <w:r>
        <w:rPr>
          <w:rStyle w:val="VerbatimChar"/>
        </w:rPr>
        <w:t xml:space="preserve">#Rx</w:t>
      </w:r>
      <w:r>
        <w:t xml:space="preserve">,</w:t>
      </w:r>
      <w:r>
        <w:t xml:space="preserve"> </w:t>
      </w:r>
      <w:r>
        <w:rPr>
          <w:rStyle w:val="VerbatimChar"/>
        </w:rPr>
        <w:t xml:space="preserve">#Hx</w:t>
      </w:r>
      <w:r>
        <w:t xml:space="preserve">, plus</w:t>
      </w:r>
      <w:r>
        <w:t xml:space="preserve"> </w:t>
      </w:r>
      <w:r>
        <w:rPr>
          <w:rStyle w:val="VerbatimChar"/>
        </w:rPr>
        <w:t xml:space="preserve">#Sx</w:t>
      </w:r>
      <w:r>
        <w:t xml:space="preserve"> </w:t>
      </w:r>
      <w:r>
        <w:t xml:space="preserve">in five sources) is documented as identifying the patient; because this is</w:t>
      </w:r>
      <w:r>
        <w:t xml:space="preserve"> </w:t>
      </w:r>
      <w:r>
        <w:t xml:space="preserve">a sample and the header schema differs between sources, we claim nothing beyond</w:t>
      </w:r>
      <w:r>
        <w:t xml:space="preserve"> </w:t>
      </w:r>
      <w:r>
        <w:t xml:space="preserve">it. Repetition, on the other hand, is documented: the INCART source is described</w:t>
      </w:r>
      <w:r>
        <w:t xml:space="preserve"> </w:t>
      </w:r>
      <w:r>
        <w:t xml:space="preserve">as</w:t>
      </w:r>
      <w:r>
        <w:t xml:space="preserve"> </w:t>
      </w:r>
      <w:r>
        <w:rPr>
          <w:i/>
          <w:iCs/>
        </w:rPr>
        <w:t xml:space="preserve">“74 annotated ECGs … extracted from 32 Holter monitor recordings,”</w:t>
      </w:r>
      <w:r>
        <w:t xml:space="preserve"> </w:t>
      </w:r>
      <w:r>
        <w:t xml:space="preserve">and the</w:t>
      </w:r>
      <w:r>
        <w:t xml:space="preserve"> </w:t>
      </w:r>
      <w:r>
        <w:rPr>
          <w:rStyle w:val="VerbatimChar"/>
        </w:rPr>
        <w:t xml:space="preserve">ptb-xl</w:t>
      </w:r>
      <w:r>
        <w:t xml:space="preserve"> </w:t>
      </w:r>
      <w:r>
        <w:t xml:space="preserve">folder contains 21,837 records from 18,869 patients. The bound</w:t>
      </w:r>
      <w:r>
        <w:t xml:space="preserve"> </w:t>
      </w:r>
      <m:oMath>
        <m:sSub>
          <m:e>
            <m:r>
              <m:t>α</m:t>
            </m:r>
          </m:e>
          <m:sub>
            <m:r>
              <m:rPr>
                <m:sty m:val="p"/>
              </m:rPr>
              <m:t>min</m:t>
            </m:r>
          </m:sub>
        </m:sSub>
        <m:r>
          <m:rPr>
            <m:sty m:val="p"/>
          </m:rPr>
          <m:t>≥</m:t>
        </m:r>
        <m:r>
          <m:t>1</m:t>
        </m:r>
        <m:r>
          <m:rPr>
            <m:sty m:val="p"/>
          </m:rPr>
          <m:t>/</m:t>
        </m:r>
        <m:r>
          <m:t>8</m:t>
        </m:r>
      </m:oMath>
      <w:r>
        <w:t xml:space="preserve"> </w:t>
      </w:r>
      <w:r>
        <w:t xml:space="preserve">of §4.1 refers to the source partition, not to the</w:t>
      </w:r>
      <w:r>
        <w:t xml:space="preserve"> </w:t>
      </w:r>
      <w:r>
        <w:t xml:space="preserve">dataset, and no single</w:t>
      </w:r>
      <w:r>
        <w:t xml:space="preserve"> </w:t>
      </w:r>
      <m:oMath>
        <m:sSub>
          <m:e>
            <m:r>
              <m:t>α</m:t>
            </m:r>
          </m:e>
          <m:sub>
            <m:r>
              <m:rPr>
                <m:sty m:val="p"/>
              </m:rPr>
              <m:t>min</m:t>
            </m:r>
          </m:sub>
        </m:sSub>
      </m:oMath>
      <w:r>
        <w:t xml:space="preserve"> </w:t>
      </w:r>
      <w:r>
        <w:t xml:space="preserve">is reported for the patient partition.</w:t>
      </w:r>
      <w:r>
        <w:t xml:space="preserve"> </w:t>
      </w:r>
      <w:r>
        <w:t xml:space="preserve">Sufficiency, moreover, presumes a latent block structure [13]; should similarity</w:t>
      </w:r>
      <w:r>
        <w:t xml:space="preserve"> </w:t>
      </w:r>
      <w:r>
        <w:t xml:space="preserve">within an institution fade gradually, for instance with how close acquisition</w:t>
      </w:r>
      <w:r>
        <w:t xml:space="preserve"> </w:t>
      </w:r>
      <w:r>
        <w:t xml:space="preserve">protocols are, the condition would be ill-posed rather than just unobservable.</w:t>
      </w:r>
      <w:r>
        <w:t xml:space="preserve"> </w:t>
      </w:r>
      <w:r>
        <w:t xml:space="preserve">All of these checks needed roughly 0.5 MB of downloads (70 index files and 42</w:t>
      </w:r>
      <w:r>
        <w:t xml:space="preserve"> </w:t>
      </w:r>
      <w:r>
        <w:t xml:space="preserve">headers) out of a 12.6 GB dataset, before any preprocessing or training.</w:t>
      </w:r>
    </w:p>
    <w:bookmarkEnd w:id="67"/>
    <w:bookmarkStart w:id="68" w:name="references"/>
    <w:p>
      <w:pPr>
        <w:pStyle w:val="Heading1"/>
      </w:pPr>
      <w:r>
        <w:t xml:space="preserve">References</w:t>
      </w:r>
    </w:p>
    <w:p>
      <w:pPr>
        <w:pStyle w:val="FirstParagraph"/>
        <w:tabs>
          <w:tab w:pos="440" w:val="left"/>
        </w:tabs>
        <w:spacing w:after="40"/>
        <w:ind w:left="440" w:hanging="440"/>
        <w:jc w:val="both"/>
      </w:pPr>
      <w:r/>
      <w:r/>
      <w:r/>
      <w:r/>
      <w:r>
        <w:rPr>
          <w:i/>
          <w:iCs/>
        </w:rPr>
      </w:r>
      <w:r/>
      <w:r>
        <w:rPr>
          <w:sz w:val="18"/>
        </w:rPr>
        <w:t>[1]</w:t>
        <w:tab/>
      </w:r>
      <w:r>
        <w:rPr>
          <w:i w:val="0"/>
          <w:sz w:val="18"/>
        </w:rPr>
        <w:t>N. Strodthoff, P. Wagner, T. Schaeffter, and W. Samek, “Deep Learning for ECG Analysis: Benchmarks and Insights from PTB-XL,” IEEE J. Biomed. Health Inform., vol. 25, no. 5, pp. 1519–1528, May 2021, doi: 10.1109/jbhi.2020.3022989.</w:t>
      </w:r>
    </w:p>
    <w:p>
      <w:pPr>
        <w:pStyle w:val="BodyText"/>
        <w:tabs>
          <w:tab w:pos="440" w:val="left"/>
        </w:tabs>
        <w:spacing w:after="40"/>
        <w:ind w:left="440" w:hanging="440"/>
        <w:jc w:val="both"/>
      </w:pPr>
      <w:r/>
      <w:r/>
      <w:r>
        <w:rPr>
          <w:i/>
          <w:iCs/>
        </w:rPr>
      </w:r>
      <w:r/>
      <w:r/>
      <w:r/>
      <w:r/>
      <w:r>
        <w:rPr>
          <w:i/>
          <w:iCs/>
        </w:rPr>
      </w:r>
      <w:r/>
      <w:r>
        <w:rPr>
          <w:sz w:val="18"/>
        </w:rPr>
        <w:t>[2]</w:t>
        <w:tab/>
      </w:r>
      <w:r>
        <w:rPr>
          <w:i w:val="0"/>
          <w:sz w:val="18"/>
        </w:rPr>
        <w:t>P. Wagner et al., “PTB-XL, a large publicly available electrocardiography dataset,” Sci Data, vol. 7, no. 1, Art. no. 154, May 2020, doi: 10.1038/s41597-020-0495-6.</w:t>
      </w:r>
    </w:p>
    <w:p>
      <w:pPr>
        <w:pStyle w:val="BodyText"/>
        <w:tabs>
          <w:tab w:pos="440" w:val="left"/>
        </w:tabs>
        <w:spacing w:after="40"/>
        <w:ind w:left="440" w:hanging="440"/>
        <w:jc w:val="both"/>
      </w:pPr>
      <w:r/>
      <w:r/>
      <w:r/>
      <w:r/>
      <w:r>
        <w:rPr>
          <w:i/>
          <w:iCs/>
        </w:rPr>
      </w:r>
      <w:r/>
      <w:r>
        <w:rPr>
          <w:sz w:val="18"/>
        </w:rPr>
        <w:t>[3]</w:t>
        <w:tab/>
      </w:r>
      <w:r>
        <w:rPr>
          <w:i w:val="0"/>
          <w:sz w:val="18"/>
        </w:rPr>
        <w:t>B. Lambert, F. Forbes, S. Doyle, H. Dehaene, and M. Dojat, “Trustworthy clinical AI solutions: A unified review of uncertainty quantification in Deep Learning models for medical image analysis,” Artificial Intelligence in Medicine, vol. 150, Apr. 2024, doi: 10.1016/j.artmed.2024.102830.</w:t>
      </w:r>
    </w:p>
    <w:p>
      <w:pPr>
        <w:pStyle w:val="BodyText"/>
        <w:tabs>
          <w:tab w:pos="440" w:val="left"/>
        </w:tabs>
        <w:spacing w:after="40"/>
        <w:ind w:left="440" w:hanging="440"/>
        <w:jc w:val="both"/>
      </w:pPr>
      <w:r/>
      <w:r/>
      <w:r>
        <w:rPr>
          <w:i/>
          <w:iCs/>
        </w:rPr>
      </w:r>
      <w:r/>
      <w:r/>
      <w:r/>
      <w:r/>
      <w:r>
        <w:rPr>
          <w:i/>
          <w:iCs/>
        </w:rPr>
      </w:r>
      <w:r/>
      <w:r>
        <w:rPr>
          <w:sz w:val="18"/>
        </w:rPr>
        <w:t>[4]</w:t>
        <w:tab/>
      </w:r>
      <w:r>
        <w:rPr>
          <w:i w:val="0"/>
          <w:sz w:val="18"/>
        </w:rPr>
        <w:t>K. Lekadir et al., “FUTURE-AI: international consensus guideline for trustworthy and deployable artificial intelligence in healthcare,” BMJ, vol. 388, Art. no. e081554, Feb. 2025, doi: 10.1136/bmj-2024-081554.</w:t>
      </w:r>
    </w:p>
    <w:p>
      <w:pPr>
        <w:pStyle w:val="BodyText"/>
        <w:tabs>
          <w:tab w:pos="440" w:val="left"/>
        </w:tabs>
        <w:spacing w:after="40"/>
        <w:ind w:left="440" w:hanging="440"/>
        <w:jc w:val="both"/>
      </w:pPr>
      <w:r/>
      <w:r/>
      <w:r/>
      <w:r/>
      <w:r>
        <w:rPr>
          <w:i/>
          <w:iCs/>
        </w:rPr>
      </w:r>
      <w:r/>
      <w:r>
        <w:rPr>
          <w:sz w:val="18"/>
        </w:rPr>
        <w:t>[5]</w:t>
        <w:tab/>
      </w:r>
      <w:r>
        <w:rPr>
          <w:i w:val="0"/>
          <w:sz w:val="18"/>
        </w:rPr>
        <w:t>M. Fontana, G. Zeni, and S. Vantini, “Conformal prediction: A unified review of theory and new challenges,” Bernoulli, vol. 29, no. 1, Feb. 2023, doi: 10.3150/21-bej1447.</w:t>
      </w:r>
    </w:p>
    <w:p>
      <w:pPr>
        <w:pStyle w:val="BodyText"/>
        <w:tabs>
          <w:tab w:pos="440" w:val="left"/>
        </w:tabs>
        <w:spacing w:after="40"/>
        <w:ind w:left="440" w:hanging="440"/>
        <w:jc w:val="both"/>
      </w:pPr>
      <w:r/>
      <w:r/>
      <w:r/>
      <w:r/>
      <w:r>
        <w:rPr>
          <w:i/>
          <w:iCs/>
        </w:rPr>
      </w:r>
      <w:r/>
      <w:r>
        <w:rPr>
          <w:sz w:val="18"/>
        </w:rPr>
        <w:t>[6]</w:t>
        <w:tab/>
      </w:r>
      <w:r>
        <w:rPr>
          <w:i w:val="0"/>
          <w:sz w:val="18"/>
        </w:rPr>
        <w:t>J. Vazquez and J. C. Facelli, “Conformal Prediction in Clinical Medical Sciences,” J Healthc Inform Res, vol. 6, no. 3, pp. 241–252, Sep. 2022, doi: 10.1007/s41666-021-00113-8.</w:t>
      </w:r>
    </w:p>
    <w:p>
      <w:pPr>
        <w:pStyle w:val="BodyText"/>
        <w:tabs>
          <w:tab w:pos="440" w:val="left"/>
        </w:tabs>
        <w:spacing w:after="40"/>
        <w:ind w:left="440" w:hanging="440"/>
        <w:jc w:val="both"/>
      </w:pPr>
      <w:r/>
      <w:r/>
      <w:r/>
      <w:r/>
      <w:r>
        <w:rPr>
          <w:i/>
          <w:iCs/>
        </w:rPr>
      </w:r>
      <w:r/>
      <w:r>
        <w:rPr>
          <w:sz w:val="18"/>
        </w:rPr>
        <w:t>[7]</w:t>
        <w:tab/>
      </w:r>
      <w:r>
        <w:rPr>
          <w:i w:val="0"/>
          <w:sz w:val="18"/>
        </w:rPr>
        <w:t>K. Tangudomkit, S. Chairat, and S. Chaichulee, “Set Prediction for Outpatient Diagnosis Coding with Sparse Mahalanobis Conformal Scoring,” BDCC, vol. 10, no. 7, Art. no. 232, Jul. 2026, doi: 10.3390/bdcc10070232.</w:t>
      </w:r>
    </w:p>
    <w:p>
      <w:pPr>
        <w:pStyle w:val="BodyText"/>
        <w:tabs>
          <w:tab w:pos="440" w:val="left"/>
        </w:tabs>
        <w:spacing w:after="40"/>
        <w:ind w:left="440" w:hanging="440"/>
        <w:jc w:val="both"/>
      </w:pPr>
      <w:r/>
      <w:r/>
      <w:r/>
      <w:r/>
      <w:r>
        <w:rPr>
          <w:i/>
          <w:iCs/>
        </w:rPr>
      </w:r>
      <w:r/>
      <w:r>
        <w:rPr>
          <w:sz w:val="18"/>
        </w:rPr>
        <w:t>[8]</w:t>
        <w:tab/>
      </w:r>
      <w:r>
        <w:rPr>
          <w:i w:val="0"/>
          <w:sz w:val="18"/>
        </w:rPr>
        <w:t>O. El Allam and M. Hamlich, “Quantization-aware Mondrian conformal prediction for embedded ECG classification,” Biomedical Signal Processing and Control, vol. 127, Nov. 2026, doi: 10.1016/j.bspc.2026.111217.</w:t>
      </w:r>
    </w:p>
    <w:p>
      <w:pPr>
        <w:pStyle w:val="BodyText"/>
        <w:tabs>
          <w:tab w:pos="440" w:val="left"/>
        </w:tabs>
        <w:spacing w:after="40"/>
        <w:ind w:left="440" w:hanging="440"/>
        <w:jc w:val="both"/>
      </w:pPr>
      <w:r/>
      <w:r/>
      <w:r/>
      <w:r/>
      <w:r>
        <w:rPr>
          <w:i/>
          <w:iCs/>
        </w:rPr>
      </w:r>
      <w:r/>
      <w:r>
        <w:rPr>
          <w:sz w:val="18"/>
        </w:rPr>
        <w:t>[9]</w:t>
        <w:tab/>
      </w:r>
      <w:r>
        <w:rPr>
          <w:i w:val="0"/>
          <w:sz w:val="18"/>
        </w:rPr>
        <w:t>O. E. ALLAM and M. HAMLICH, “Hierarchical adaptive conformal inference for reliable uncertainty quantification in edge-deployable medical wearables,” Measurement, vol. 279, Jun. 2026, doi: 10.1016/j.measurement.2026.121765.</w:t>
      </w:r>
    </w:p>
    <w:p>
      <w:pPr>
        <w:pStyle w:val="BodyText"/>
        <w:tabs>
          <w:tab w:pos="440" w:val="left"/>
        </w:tabs>
        <w:spacing w:after="40"/>
        <w:ind w:left="440" w:hanging="440"/>
        <w:jc w:val="both"/>
      </w:pPr>
      <w:r/>
      <w:r/>
      <w:r/>
      <w:r/>
      <w:r>
        <w:rPr>
          <w:i/>
          <w:iCs/>
        </w:rPr>
      </w:r>
      <w:r/>
      <w:r>
        <w:rPr>
          <w:sz w:val="18"/>
        </w:rPr>
        <w:t>[10]</w:t>
        <w:tab/>
      </w:r>
      <w:r>
        <w:rPr>
          <w:i w:val="0"/>
          <w:sz w:val="18"/>
        </w:rPr>
        <w:t>I. H. Kinalioglu, “Conformal reliability assessment of PPG-based ICU arrhythmia classification under class imbalance and patient heterogeneity,” Physiol. Meas., vol. 47, no. 8, Art. no. 085029, Aug. 2026, doi: 10.1088/1361-6579/ae92e8.</w:t>
      </w:r>
    </w:p>
    <w:p>
      <w:pPr>
        <w:pStyle w:val="BodyText"/>
        <w:tabs>
          <w:tab w:pos="440" w:val="left"/>
        </w:tabs>
        <w:spacing w:after="40"/>
        <w:ind w:left="440" w:hanging="440"/>
        <w:jc w:val="both"/>
      </w:pPr>
      <w:r/>
      <w:r/>
      <w:r/>
      <w:r/>
      <w:r>
        <w:rPr>
          <w:i/>
          <w:iCs/>
        </w:rPr>
      </w:r>
      <w:r/>
      <w:r>
        <w:rPr>
          <w:sz w:val="18"/>
        </w:rPr>
        <w:t>[11]</w:t>
        <w:tab/>
      </w:r>
      <w:r>
        <w:rPr>
          <w:i w:val="0"/>
          <w:sz w:val="18"/>
        </w:rPr>
        <w:t>S. Sim and C. Kim, “Anomaly-Selective Conformal Calibration for ECG Monitoring: Threshold Divergence and the Limits of Finite-Sample False Alarm Control,” IEEE Access, vol. 14, pp. 144957–144979, 2026, doi: 10.1109/access.2026.3734990.</w:t>
      </w:r>
    </w:p>
    <w:p>
      <w:pPr>
        <w:pStyle w:val="BodyText"/>
        <w:tabs>
          <w:tab w:pos="440" w:val="left"/>
        </w:tabs>
        <w:spacing w:after="40"/>
        <w:ind w:left="440" w:hanging="440"/>
        <w:jc w:val="both"/>
      </w:pPr>
      <w:r/>
      <w:r/>
      <w:r/>
      <w:r/>
      <w:r>
        <w:rPr>
          <w:i/>
          <w:iCs/>
        </w:rPr>
      </w:r>
      <w:r/>
      <w:r>
        <w:rPr>
          <w:sz w:val="18"/>
        </w:rPr>
        <w:t>[12]</w:t>
        <w:tab/>
      </w:r>
      <w:r>
        <w:rPr>
          <w:i w:val="0"/>
          <w:sz w:val="18"/>
        </w:rPr>
        <w:t>R. F. Barber, E. J. Candès, A. Ramdas, and R. J. Tibshirani, “Conformal prediction beyond exchangeability,” Ann. Statist., vol. 51, no. 2, Apr. 2023, doi: 10.1214/23-aos2276.</w:t>
      </w:r>
    </w:p>
    <w:p>
      <w:pPr>
        <w:pStyle w:val="BodyText"/>
        <w:tabs>
          <w:tab w:pos="440" w:val="left"/>
        </w:tabs>
        <w:spacing w:after="40"/>
        <w:ind w:left="440" w:hanging="440"/>
        <w:jc w:val="both"/>
      </w:pPr>
      <w:r/>
      <w:r/>
      <w:r/>
      <w:r/>
      <w:r>
        <w:rPr>
          <w:i/>
          <w:iCs/>
        </w:rPr>
      </w:r>
      <w:r/>
      <w:r>
        <w:rPr>
          <w:sz w:val="18"/>
        </w:rPr>
        <w:t>[13]</w:t>
        <w:tab/>
      </w:r>
      <w:r>
        <w:rPr>
          <w:i w:val="0"/>
          <w:sz w:val="18"/>
        </w:rPr>
        <w:t>Y. Lee, R. Barber, and R. Willett, “Distribution-free inference with hierarchical data,” ACM J. Data Sci., Mar. 2026, doi: 10.1145/3786352.</w:t>
      </w:r>
    </w:p>
    <w:p>
      <w:pPr>
        <w:pStyle w:val="BodyText"/>
        <w:tabs>
          <w:tab w:pos="440" w:val="left"/>
        </w:tabs>
        <w:spacing w:after="40"/>
        <w:ind w:left="440" w:hanging="440"/>
        <w:jc w:val="both"/>
      </w:pPr>
      <w:r/>
      <w:r/>
      <w:r/>
      <w:r/>
      <w:r>
        <w:rPr>
          <w:i/>
          <w:iCs/>
        </w:rPr>
      </w:r>
      <w:r/>
      <w:r>
        <w:rPr>
          <w:sz w:val="18"/>
        </w:rPr>
        <w:t>[14]</w:t>
        <w:tab/>
      </w:r>
      <w:r>
        <w:rPr>
          <w:i w:val="0"/>
          <w:sz w:val="18"/>
        </w:rPr>
        <w:t>R. Dunn, L. Wasserman, and A. Ramdas, “Distribution-Free Prediction Sets for Two-Layer Hierarchical Models,” Journal of the American Statistical Association, vol. 118, no. 544, pp. 2491–2502, Oct. 2023, doi: 10.1080/01621459.2022.2060112.</w:t>
      </w:r>
    </w:p>
    <w:p>
      <w:pPr>
        <w:pStyle w:val="BodyText"/>
        <w:tabs>
          <w:tab w:pos="440" w:val="left"/>
        </w:tabs>
        <w:spacing w:after="40"/>
        <w:ind w:left="440" w:hanging="440"/>
        <w:jc w:val="both"/>
      </w:pPr>
      <w:r/>
      <w:r/>
      <w:r/>
      <w:r/>
      <w:r/>
      <w:r>
        <w:rPr>
          <w:sz w:val="18"/>
        </w:rPr>
        <w:t>[15]</w:t>
        <w:tab/>
      </w:r>
      <w:r>
        <w:rPr>
          <w:i w:val="0"/>
          <w:sz w:val="18"/>
        </w:rPr>
        <w:t>P. Wagner, N. Strodthoff, R.-D. Bousseljot, W. Samek, and T. Schaeffter, “PTB-XL, a large publicly available electrocardiography dataset,” PhysioNet, ver. 1.0.3, 2022, doi: 10.13026/kfzx-aw45.</w:t>
      </w:r>
    </w:p>
    <w:p>
      <w:pPr>
        <w:pStyle w:val="BodyText"/>
        <w:tabs>
          <w:tab w:pos="440" w:val="left"/>
        </w:tabs>
        <w:spacing w:after="40"/>
        <w:ind w:left="440" w:hanging="440"/>
        <w:jc w:val="both"/>
      </w:pPr>
      <w:r/>
      <w:r/>
      <w:r/>
      <w:r/>
      <w:r/>
      <w:r>
        <w:rPr>
          <w:sz w:val="18"/>
        </w:rPr>
        <w:t>[16]</w:t>
        <w:tab/>
      </w:r>
      <w:r>
        <w:rPr>
          <w:i w:val="0"/>
          <w:sz w:val="18"/>
        </w:rPr>
        <w:t>G. B. Moody and R. G. Mark, “MIT-BIH Arrhythmia Database,” PhysioNet, 1992, doi: 10.13026/C2F305.</w:t>
      </w:r>
    </w:p>
    <w:p>
      <w:pPr>
        <w:pStyle w:val="BodyText"/>
        <w:tabs>
          <w:tab w:pos="440" w:val="left"/>
        </w:tabs>
        <w:spacing w:after="40"/>
        <w:ind w:left="440" w:hanging="440"/>
        <w:jc w:val="both"/>
      </w:pPr>
      <w:r/>
      <w:r/>
      <w:r>
        <w:rPr>
          <w:i/>
          <w:iCs/>
        </w:rPr>
      </w:r>
      <w:r/>
      <w:r/>
      <w:r/>
      <w:r/>
      <w:r/>
      <w:r>
        <w:rPr>
          <w:sz w:val="18"/>
        </w:rPr>
        <w:t>[17]</w:t>
        <w:tab/>
      </w:r>
      <w:r>
        <w:rPr>
          <w:i w:val="0"/>
          <w:sz w:val="18"/>
        </w:rPr>
        <w:t>M. Reyna et al., “Will Two Do? Varying Dimensions in Electrocardiography: The PhysioNet/Computing in Cardiology Challenge 2021,” PhysioNet, ver. 1.0.3, 2022, doi: 10.13026/34va-7q14.</w:t>
      </w:r>
    </w:p>
    <w:p>
      <w:pPr>
        <w:pStyle w:val="BodyText"/>
        <w:tabs>
          <w:tab w:pos="440" w:val="left"/>
        </w:tabs>
        <w:spacing w:after="40"/>
        <w:ind w:left="440" w:hanging="440"/>
        <w:jc w:val="both"/>
      </w:pPr>
      <w:r/>
      <w:r/>
      <w:r/>
      <w:r/>
      <w:r>
        <w:rPr>
          <w:i/>
          <w:iCs/>
        </w:rPr>
      </w:r>
      <w:r/>
      <w:r>
        <w:rPr>
          <w:sz w:val="18"/>
        </w:rPr>
        <w:t>[18]</w:t>
        <w:tab/>
      </w:r>
      <w:r>
        <w:rPr>
          <w:i w:val="0"/>
          <w:sz w:val="18"/>
        </w:rPr>
        <w:t>L. Lei and E. J. Candès, “Conformal Inference of Counterfactuals and Individual Treatment Effects,” Journal of the Royal Statistical Society Series B: Statistical Methodology, vol. 83, no. 5, pp. 911–938, Nov. 2021, doi: 10.1111/rssb.12445.</w:t>
      </w:r>
    </w:p>
    <w:p>
      <w:pPr>
        <w:pStyle w:val="BodyText"/>
        <w:tabs>
          <w:tab w:pos="440" w:val="left"/>
        </w:tabs>
        <w:spacing w:after="40"/>
        <w:ind w:left="440" w:hanging="440"/>
        <w:jc w:val="both"/>
      </w:pPr>
      <w:r/>
      <w:r/>
      <w:r/>
      <w:r/>
      <w:r>
        <w:rPr>
          <w:i/>
          <w:iCs/>
        </w:rPr>
      </w:r>
      <w:r/>
      <w:r>
        <w:rPr>
          <w:sz w:val="18"/>
        </w:rPr>
        <w:t>[19]</w:t>
        <w:tab/>
      </w:r>
      <w:r>
        <w:rPr>
          <w:i w:val="0"/>
          <w:sz w:val="18"/>
        </w:rPr>
        <w:t>H. Mao, R. Martin, and B. J. Reich, “Valid Model-Free Spatial Prediction,” Journal of the American Statistical Association, vol. 119, no. 546, pp. 904–914, Apr. 2024, doi: 10.1080/01621459.2022.2147531.</w:t>
      </w:r>
    </w:p>
    <w:p>
      <w:pPr>
        <w:pStyle w:val="BodyText"/>
        <w:tabs>
          <w:tab w:pos="440" w:val="left"/>
        </w:tabs>
        <w:spacing w:after="40"/>
        <w:ind w:left="440" w:hanging="440"/>
        <w:jc w:val="both"/>
      </w:pPr>
      <w:r/>
      <w:r/>
      <w:r/>
      <w:r/>
      <w:r>
        <w:rPr>
          <w:i/>
          <w:iCs/>
        </w:rPr>
      </w:r>
      <w:r/>
      <w:r>
        <w:rPr>
          <w:sz w:val="18"/>
        </w:rPr>
        <w:t>[20]</w:t>
        <w:tab/>
      </w:r>
      <w:r>
        <w:rPr>
          <w:i w:val="0"/>
          <w:sz w:val="18"/>
        </w:rPr>
        <w:t>R. Lunde, E. Levina, and J. Zhu, “Conformal Prediction for Network-Assisted Regression,” Journal of the American Statistical Association, vol. 120, no. 551, pp. 1633–1644, Jul. 2025, doi: 10.1080/01621459.2025.2506198.</w:t>
      </w:r>
    </w:p>
    <w:p>
      <w:pPr>
        <w:pStyle w:val="BodyText"/>
        <w:tabs>
          <w:tab w:pos="440" w:val="left"/>
        </w:tabs>
        <w:spacing w:after="40"/>
        <w:ind w:left="440" w:hanging="440"/>
        <w:jc w:val="both"/>
      </w:pPr>
      <w:r/>
      <w:r/>
      <w:r/>
      <w:r/>
      <w:r>
        <w:rPr>
          <w:i/>
          <w:iCs/>
        </w:rPr>
      </w:r>
      <w:r/>
      <w:r>
        <w:rPr>
          <w:sz w:val="18"/>
        </w:rPr>
        <w:t>[21]</w:t>
        <w:tab/>
      </w:r>
      <w:r>
        <w:rPr>
          <w:i w:val="0"/>
          <w:sz w:val="18"/>
        </w:rPr>
        <w:t>A. Bhattacharyya and R. F. Barber, “Group-weighted conformal prediction,” Electron. J. Statist., vol. 20, no. 1, Jan. 2026, doi: 10.1214/26-ejs2506.</w:t>
      </w:r>
    </w:p>
    <w:p>
      <w:pPr>
        <w:pStyle w:val="BodyText"/>
        <w:tabs>
          <w:tab w:pos="440" w:val="left"/>
        </w:tabs>
        <w:spacing w:after="40"/>
        <w:ind w:left="440" w:hanging="440"/>
        <w:jc w:val="both"/>
      </w:pPr>
      <w:r/>
      <w:r/>
      <w:r/>
      <w:r/>
      <w:r>
        <w:rPr>
          <w:i/>
          <w:iCs/>
        </w:rPr>
      </w:r>
      <w:r/>
      <w:r>
        <w:rPr>
          <w:sz w:val="18"/>
        </w:rPr>
        <w:t>[22]</w:t>
        <w:tab/>
      </w:r>
      <w:r>
        <w:rPr>
          <w:i w:val="0"/>
          <w:sz w:val="18"/>
        </w:rPr>
        <w:t>J.-I. Seo, Y. E. Jeon, and Y. Kim, “Calibrated Mondrian conformal prediction for uncertainty quantification in spatial modeling,” Pattern Recognition, vol. 180, Dec. 2026, doi: 10.1016/j.patcog.2026.114113.</w:t>
      </w:r>
    </w:p>
    <w:p>
      <w:pPr>
        <w:pStyle w:val="BodyText"/>
        <w:tabs>
          <w:tab w:pos="440" w:val="left"/>
        </w:tabs>
        <w:spacing w:after="40"/>
        <w:ind w:left="440" w:hanging="440"/>
        <w:jc w:val="both"/>
      </w:pPr>
      <w:r/>
      <w:r/>
      <w:r/>
      <w:r/>
      <w:r>
        <w:rPr>
          <w:i/>
          <w:iCs/>
        </w:rPr>
      </w:r>
      <w:r/>
      <w:r>
        <w:rPr>
          <w:sz w:val="18"/>
        </w:rPr>
        <w:t>[23]</w:t>
        <w:tab/>
      </w:r>
      <w:r>
        <w:rPr>
          <w:i w:val="0"/>
          <w:sz w:val="18"/>
        </w:rPr>
        <w:t>R. F. Barber, E. J. Candès, A. Ramdas, and R. J. Tibshirani, “Predictive inference with the jackknife+,” Ann. Statist., vol. 49, no. 1, Feb. 2021, doi: 10.1214/20-aos1965.</w:t>
      </w:r>
    </w:p>
    <w:p>
      <w:pPr>
        <w:pStyle w:val="BodyText"/>
        <w:tabs>
          <w:tab w:pos="440" w:val="left"/>
        </w:tabs>
        <w:spacing w:after="40"/>
        <w:ind w:left="440" w:hanging="440"/>
        <w:jc w:val="both"/>
      </w:pPr>
      <w:r/>
      <w:r/>
      <w:r/>
      <w:r/>
      <w:r>
        <w:rPr>
          <w:i/>
          <w:iCs/>
        </w:rPr>
      </w:r>
      <w:r/>
      <w:r>
        <w:rPr>
          <w:sz w:val="18"/>
        </w:rPr>
        <w:t>[24]</w:t>
        <w:tab/>
      </w:r>
      <w:r>
        <w:rPr>
          <w:i w:val="0"/>
          <w:sz w:val="18"/>
        </w:rPr>
        <w:t>H. Papadopoulos, “Conformal prediction for multi-label learning: a review of methods and guarantees,” Philosophical Transactions of the Royal Society A: Mathematical, Physical and Engineering Sciences, vol. 384, no. 2327, Art. no. 20250071, Aug. 2026, doi: 10.1098/rsta.2025.0071.</w:t>
      </w:r>
    </w:p>
    <w:p>
      <w:pPr>
        <w:pStyle w:val="BodyText"/>
        <w:tabs>
          <w:tab w:pos="440" w:val="left"/>
        </w:tabs>
        <w:spacing w:after="40"/>
        <w:ind w:left="440" w:hanging="440"/>
        <w:jc w:val="both"/>
      </w:pPr>
      <w:r/>
      <w:r/>
      <w:r/>
      <w:r/>
      <w:r>
        <w:rPr>
          <w:i/>
          <w:iCs/>
        </w:rPr>
      </w:r>
      <w:r/>
      <w:r>
        <w:rPr>
          <w:sz w:val="18"/>
        </w:rPr>
        <w:t>[25]</w:t>
        <w:tab/>
      </w:r>
      <w:r>
        <w:rPr>
          <w:i w:val="0"/>
          <w:sz w:val="18"/>
        </w:rPr>
        <w:t>L. Maltoudoglou, A. Paisios, L. Lenc, J. Martínek, P. Král, and H. Papadopoulos, “Well-calibrated confidence measures for multi-label text classification with a large number of labels,” Pattern Recognition, vol. 122, Feb. 2022, doi: 10.1016/j.patcog.2021.108271.</w:t>
      </w:r>
    </w:p>
    <w:p>
      <w:pPr>
        <w:pStyle w:val="BodyText"/>
        <w:tabs>
          <w:tab w:pos="440" w:val="left"/>
        </w:tabs>
        <w:spacing w:after="40"/>
        <w:ind w:left="440" w:hanging="440"/>
        <w:jc w:val="both"/>
      </w:pPr>
      <w:r/>
      <w:r/>
      <w:r>
        <w:rPr>
          <w:i/>
          <w:iCs/>
        </w:rPr>
      </w:r>
      <w:r/>
      <w:r/>
      <w:r/>
      <w:r/>
      <w:r>
        <w:rPr>
          <w:i/>
          <w:iCs/>
        </w:rPr>
      </w:r>
      <w:r/>
      <w:r>
        <w:rPr>
          <w:sz w:val="18"/>
        </w:rPr>
        <w:t>[26]</w:t>
        <w:tab/>
      </w:r>
      <w:r>
        <w:rPr>
          <w:i w:val="0"/>
          <w:sz w:val="18"/>
        </w:rPr>
        <w:t>W. Huang et al., “HmcNet: A General Approach for Hierarchical Multi-Label Classification,” IEEE Trans. Knowl. Data Eng., vol. 35, no. 9, pp. 8713–8728, Sep. 2023, doi: 10.1109/tkde.2022.3207511.</w:t>
      </w:r>
    </w:p>
    <w:p>
      <w:pPr>
        <w:pStyle w:val="BodyText"/>
        <w:tabs>
          <w:tab w:pos="440" w:val="left"/>
        </w:tabs>
        <w:spacing w:after="40"/>
        <w:ind w:left="440" w:hanging="440"/>
        <w:jc w:val="both"/>
      </w:pPr>
      <w:r/>
      <w:r/>
      <w:r/>
      <w:r/>
      <w:r>
        <w:rPr>
          <w:i/>
          <w:iCs/>
        </w:rPr>
      </w:r>
      <w:r/>
      <w:r>
        <w:rPr>
          <w:sz w:val="18"/>
        </w:rPr>
        <w:t>[27]</w:t>
        <w:tab/>
      </w:r>
      <w:r>
        <w:rPr>
          <w:i w:val="0"/>
          <w:sz w:val="18"/>
        </w:rPr>
        <w:t>M. Sun, J. Niu, X. Yang, Y. Gu, and W. Zhang, “CEHMR: Curriculum learning enhanced hierarchical multi-label classification for medication recommendation,” Artificial Intelligence in Medicine, vol. 143, Sep. 2023, doi: 10.1016/j.artmed.2023.102613.</w:t>
      </w:r>
    </w:p>
    <w:p>
      <w:pPr>
        <w:pStyle w:val="BodyText"/>
        <w:tabs>
          <w:tab w:pos="440" w:val="left"/>
        </w:tabs>
        <w:spacing w:after="40"/>
        <w:ind w:left="440" w:hanging="440"/>
        <w:jc w:val="both"/>
      </w:pPr>
      <w:r/>
      <w:r/>
      <w:r/>
      <w:r/>
      <w:r>
        <w:rPr>
          <w:i/>
          <w:iCs/>
        </w:rPr>
      </w:r>
      <w:r/>
      <w:r>
        <w:rPr>
          <w:sz w:val="18"/>
        </w:rPr>
        <w:t>[28]</w:t>
        <w:tab/>
      </w:r>
      <w:r>
        <w:rPr>
          <w:i w:val="0"/>
          <w:sz w:val="18"/>
        </w:rPr>
        <w:t>A. Baheri and M. A. Shahbazi, “Conformal prediction across scales: Finite-sample coverage with hierarchical efficiency,” Results in Applied Mathematics, vol. 26, May 2025, doi: 10.1016/j.rinam.2025.100589.</w:t>
      </w:r>
    </w:p>
    <w:p>
      <w:pPr>
        <w:pStyle w:val="BodyText"/>
        <w:tabs>
          <w:tab w:pos="440" w:val="left"/>
        </w:tabs>
        <w:spacing w:after="40"/>
        <w:ind w:left="440" w:hanging="440"/>
        <w:jc w:val="both"/>
      </w:pPr>
      <w:r/>
      <w:r/>
      <w:r/>
      <w:r/>
      <w:r/>
      <w:r>
        <w:rPr>
          <w:sz w:val="18"/>
        </w:rPr>
        <w:t>[29]</w:t>
        <w:tab/>
      </w:r>
      <w:r>
        <w:rPr>
          <w:i w:val="0"/>
          <w:sz w:val="18"/>
        </w:rPr>
        <w:t>B. Zhang, S. Li, and O. Bastani, “Conformal Structured Prediction,” arXiv:2410.06296, Oct. 2024.</w:t>
      </w:r>
    </w:p>
    <w:p>
      <w:pPr>
        <w:pStyle w:val="BodyText"/>
        <w:tabs>
          <w:tab w:pos="440" w:val="left"/>
        </w:tabs>
        <w:spacing w:after="40"/>
        <w:ind w:left="440" w:hanging="440"/>
        <w:jc w:val="both"/>
      </w:pPr>
      <w:r/>
      <w:r/>
      <w:r/>
      <w:r/>
      <w:r>
        <w:rPr>
          <w:i/>
          <w:iCs/>
        </w:rPr>
      </w:r>
      <w:r/>
      <w:r>
        <w:rPr>
          <w:sz w:val="18"/>
        </w:rPr>
        <w:t>[30]</w:t>
        <w:tab/>
      </w:r>
      <w:r>
        <w:rPr>
          <w:i w:val="0"/>
          <w:sz w:val="18"/>
        </w:rPr>
        <w:t>F. M. Dias, H. L. M. Monteiro, T. W. Cabral, R. Naji, M. Kuehni, and E. J. d. S. Luz, “Arrhythmia classification from single-lead ECG signals using the inter-patient paradigm,” Computer Methods and Programs in Biomedicine, vol. 202, Apr. 2021, doi: 10.1016/j.cmpb.2021.105948.</w:t>
      </w:r>
    </w:p>
    <w:p>
      <w:pPr>
        <w:pStyle w:val="BodyText"/>
        <w:tabs>
          <w:tab w:pos="440" w:val="left"/>
        </w:tabs>
        <w:spacing w:after="40"/>
        <w:ind w:left="440" w:hanging="440"/>
        <w:jc w:val="both"/>
      </w:pPr>
      <w:r/>
      <w:r/>
      <w:r/>
      <w:r/>
      <w:r>
        <w:rPr>
          <w:i/>
          <w:iCs/>
        </w:rPr>
      </w:r>
      <w:r/>
      <w:r>
        <w:rPr>
          <w:sz w:val="18"/>
        </w:rPr>
        <w:t>[31]</w:t>
        <w:tab/>
      </w:r>
      <w:r>
        <w:rPr>
          <w:i w:val="0"/>
          <w:sz w:val="18"/>
        </w:rPr>
        <w:t>Y. Li, R. Qian, and K. Li, “Inter-patient arrhythmia classification with improved deep residual convolutional neural network,” Computer Methods and Programs in Biomedicine, vol. 214, Feb. 2022, doi: 10.1016/j.cmpb.2021.106582.</w:t>
      </w:r>
    </w:p>
    <w:p>
      <w:pPr>
        <w:pStyle w:val="BodyText"/>
        <w:tabs>
          <w:tab w:pos="440" w:val="left"/>
        </w:tabs>
        <w:spacing w:after="40"/>
        <w:ind w:left="440" w:hanging="440"/>
        <w:jc w:val="both"/>
      </w:pPr>
      <w:r/>
      <w:r/>
      <w:r/>
      <w:r/>
      <w:r>
        <w:rPr>
          <w:i/>
          <w:iCs/>
        </w:rPr>
      </w:r>
      <w:r/>
      <w:r>
        <w:rPr>
          <w:sz w:val="18"/>
        </w:rPr>
        <w:t>[32]</w:t>
        <w:tab/>
      </w:r>
      <w:r>
        <w:rPr>
          <w:i w:val="0"/>
          <w:sz w:val="18"/>
        </w:rPr>
        <w:t>G. Wang, M. Chen, Z. Ding, J. Li, H. Yang, and P. Zhang, “Inter-patient ECG arrhythmia heartbeat classification based on unsupervised domain adaptation,” Neurocomputing, vol. 454, pp. 339–349, Sep. 2021, doi: 10.1016/j.neucom.2021.04.104.</w:t>
      </w:r>
    </w:p>
    <w:p>
      <w:pPr>
        <w:pStyle w:val="BodyText"/>
        <w:tabs>
          <w:tab w:pos="440" w:val="left"/>
        </w:tabs>
        <w:spacing w:after="40"/>
        <w:ind w:left="440" w:hanging="440"/>
        <w:jc w:val="both"/>
      </w:pPr>
      <w:r/>
      <w:r/>
      <w:r/>
      <w:r/>
      <w:r>
        <w:rPr>
          <w:i/>
          <w:iCs/>
        </w:rPr>
      </w:r>
      <w:r/>
      <w:r>
        <w:rPr>
          <w:sz w:val="18"/>
        </w:rPr>
        <w:t>[33]</w:t>
        <w:tab/>
      </w:r>
      <w:r>
        <w:rPr>
          <w:i w:val="0"/>
          <w:sz w:val="18"/>
        </w:rPr>
        <w:t>J. Jonkers, F. Coopman, L. Duchateau, G. Van Wallendael, and S. Van Hoecke, “Reliable uncertainty quantification for 2D/3D anatomical landmark localization using multi-output conformal prediction,” Medical Image Analysis, vol. 110, May 2026, doi: 10.1016/j.media.2026.103953.</w:t>
      </w:r>
    </w:p>
    <w:p>
      <w:pPr>
        <w:pStyle w:val="BodyText"/>
        <w:tabs>
          <w:tab w:pos="440" w:val="left"/>
        </w:tabs>
        <w:spacing w:after="40"/>
        <w:ind w:left="440" w:hanging="440"/>
        <w:jc w:val="both"/>
      </w:pPr>
      <w:r/>
      <w:r/>
      <w:r/>
      <w:r/>
      <w:r>
        <w:rPr>
          <w:i/>
          <w:iCs/>
        </w:rPr>
      </w:r>
      <w:r/>
      <w:r>
        <w:rPr>
          <w:sz w:val="18"/>
        </w:rPr>
        <w:t>[34]</w:t>
        <w:tab/>
      </w:r>
      <w:r>
        <w:rPr>
          <w:i w:val="0"/>
          <w:sz w:val="18"/>
        </w:rPr>
        <w:t>A. N. Angelopoulos, “Conformal risk control for non-monotonic losses,” Philosophical Transactions of the Royal Society A: Mathematical, Physical and Engineering Sciences, vol. 384, no. 2327, Art. no. 20250068, Aug. 2026, doi: 10.1098/rsta.2025.0068.</w:t>
      </w:r>
    </w:p>
    <w:p>
      <w:pPr>
        <w:pStyle w:val="BodyText"/>
        <w:tabs>
          <w:tab w:pos="440" w:val="left"/>
        </w:tabs>
        <w:spacing w:after="40"/>
        <w:ind w:left="440" w:hanging="440"/>
        <w:jc w:val="both"/>
      </w:pPr>
      <w:r/>
      <w:r/>
      <w:r/>
      <w:r/>
      <w:r>
        <w:rPr>
          <w:i/>
          <w:iCs/>
        </w:rPr>
      </w:r>
      <w:r/>
      <w:r>
        <w:rPr>
          <w:sz w:val="18"/>
        </w:rPr>
        <w:t>[35]</w:t>
        <w:tab/>
      </w:r>
      <w:r>
        <w:rPr>
          <w:i w:val="0"/>
          <w:sz w:val="18"/>
        </w:rPr>
        <w:t>C. Xu and Y. Xie, “Conformal Prediction for Time Series,” IEEE Trans. Pattern Anal. Mach. Intell., vol. 45, no. 10, pp. 11575–11587, Oct. 2023, doi: 10.1109/tpami.2023.3272339.</w:t>
      </w:r>
    </w:p>
    <w:p>
      <w:pPr>
        <w:pStyle w:val="BodyText"/>
        <w:tabs>
          <w:tab w:pos="440" w:val="left"/>
        </w:tabs>
        <w:spacing w:after="40"/>
        <w:ind w:left="440" w:hanging="440"/>
        <w:jc w:val="both"/>
      </w:pPr>
      <w:r/>
      <w:r/>
      <w:r/>
      <w:r/>
      <w:r>
        <w:rPr>
          <w:i/>
          <w:iCs/>
        </w:rPr>
      </w:r>
      <w:r/>
      <w:r>
        <w:rPr>
          <w:sz w:val="18"/>
        </w:rPr>
        <w:t>[36]</w:t>
        <w:tab/>
      </w:r>
      <w:r>
        <w:rPr>
          <w:i w:val="0"/>
          <w:sz w:val="18"/>
        </w:rPr>
        <w:t>M. A. Shahbazi, A. Baheri, and N. Azadeh-Fard, “A hierarchical conformal framework for uncertainty-aware length of stay prediction in multi-hospital settings,” Sci Rep, vol. 16, no. 1, Art. no. 6564, Jan. 2026, doi: 10.1038/s41598-026-37450-w.</w:t>
      </w:r>
    </w:p>
    <w:p>
      <w:pPr>
        <w:pStyle w:val="BodyText"/>
        <w:tabs>
          <w:tab w:pos="440" w:val="left"/>
        </w:tabs>
        <w:spacing w:after="40"/>
        <w:ind w:left="440" w:hanging="440"/>
        <w:jc w:val="both"/>
      </w:pPr>
      <w:r/>
      <w:r/>
      <w:r/>
      <w:r/>
      <w:r>
        <w:rPr>
          <w:i/>
          <w:iCs/>
        </w:rPr>
      </w:r>
      <w:r/>
      <w:r>
        <w:rPr>
          <w:sz w:val="18"/>
        </w:rPr>
        <w:t>[37]</w:t>
        <w:tab/>
      </w:r>
      <w:r>
        <w:rPr>
          <w:i w:val="0"/>
          <w:sz w:val="18"/>
        </w:rPr>
        <w:t>I. R. White and J. Thomas, “Standardized mean differences in individually-randomized and cluster-randomized trials, with applications to meta-analysis,” Clinical Trials, vol. 2, no. 2, pp. 141–151, Apr. 2005, doi: 10.1191/1740774505cn081oa.</w:t>
      </w:r>
    </w:p>
    <w:p>
      <w:pPr>
        <w:pStyle w:val="BodyText"/>
        <w:tabs>
          <w:tab w:pos="440" w:val="left"/>
        </w:tabs>
        <w:spacing w:after="40"/>
        <w:ind w:left="440" w:hanging="440"/>
        <w:jc w:val="both"/>
      </w:pPr>
      <w:r/>
      <w:r/>
      <w:r/>
      <w:r/>
      <w:r>
        <w:rPr>
          <w:i/>
          <w:iCs/>
        </w:rPr>
      </w:r>
      <w:r/>
      <w:r>
        <w:rPr>
          <w:sz w:val="18"/>
        </w:rPr>
        <w:t>[38]</w:t>
        <w:tab/>
      </w:r>
      <w:r>
        <w:rPr>
          <w:i w:val="0"/>
          <w:sz w:val="18"/>
        </w:rPr>
        <w:t>S. M. Kerry and J. Martin Bland, “Unequal cluster sizes for trials in English and Welsh general practice: implications for sample size calculations,” Statist. Med., vol. 20, no. 3, pp. 377–390, Feb. 2001, doi: 10.1002/1097-0258(20010215)20:3&lt;377::aid-sim799&gt;3.0.co;2-n.</w:t>
      </w:r>
    </w:p>
    <w:p>
      <w:pPr>
        <w:pStyle w:val="BodyText"/>
        <w:tabs>
          <w:tab w:pos="440" w:val="left"/>
        </w:tabs>
        <w:spacing w:after="40"/>
        <w:ind w:left="440" w:hanging="440"/>
        <w:jc w:val="both"/>
      </w:pPr>
      <w:r/>
      <w:r/>
      <w:r/>
      <w:r/>
      <w:r>
        <w:rPr>
          <w:i/>
          <w:iCs/>
        </w:rPr>
      </w:r>
      <w:r/>
      <w:r>
        <w:rPr>
          <w:sz w:val="18"/>
        </w:rPr>
        <w:t>[39]</w:t>
        <w:tab/>
      </w:r>
      <w:r>
        <w:rPr>
          <w:i w:val="0"/>
          <w:sz w:val="18"/>
        </w:rPr>
        <w:t>D. Zhan, L. Xu, Y. Ouyang, R. Sawatzky, and H. Wong, “Methods for dealing with unequal cluster sizes in cluster randomized trials: A scoping review,” PLoS ONE, vol. 16, no. 7, Art. no. e0255389, Jul. 2021, doi: 10.1371/journal.pone.0255389.</w:t>
      </w:r>
    </w:p>
    <w:p>
      <w:pPr>
        <w:pStyle w:val="BodyText"/>
        <w:tabs>
          <w:tab w:pos="440" w:val="left"/>
        </w:tabs>
        <w:spacing w:after="40"/>
        <w:ind w:left="440" w:hanging="440"/>
        <w:jc w:val="both"/>
      </w:pPr>
      <w:r/>
      <w:r/>
      <w:r/>
      <w:r/>
      <w:r/>
      <w:r>
        <w:rPr>
          <w:sz w:val="18"/>
        </w:rPr>
        <w:t>[40]</w:t>
        <w:tab/>
      </w:r>
      <w:r>
        <w:rPr>
          <w:i w:val="0"/>
          <w:sz w:val="18"/>
        </w:rPr>
        <w:t>A. Noonan, “The Exceedance Design Effect: Effective Sample Size for Thresholds under Clustering,” arXiv:2608.21262, Aug. 2026.</w:t>
      </w:r>
    </w:p>
    <w:p>
      <w:pPr>
        <w:pStyle w:val="BodyText"/>
        <w:tabs>
          <w:tab w:pos="440" w:val="left"/>
        </w:tabs>
        <w:spacing w:after="40"/>
        <w:ind w:left="440" w:hanging="440"/>
        <w:jc w:val="both"/>
      </w:pPr>
      <w:r/>
      <w:r/>
      <w:r/>
      <w:r/>
      <w:r/>
      <w:r>
        <w:rPr>
          <w:sz w:val="18"/>
        </w:rPr>
        <w:t>[41]</w:t>
        <w:tab/>
      </w:r>
      <w:r>
        <w:rPr>
          <w:i w:val="0"/>
          <w:sz w:val="18"/>
        </w:rPr>
        <w:t>J. Zheng and G. Xu, “A Symmetric Layer-Union Audit of Component Collapse in Hierarchical Procedural Corpora,” arXiv:2608.08892, Aug. 2026.</w:t>
      </w:r>
    </w:p>
    <w:p>
      <w:pPr>
        <w:pStyle w:val="BodyText"/>
        <w:tabs>
          <w:tab w:pos="440" w:val="left"/>
        </w:tabs>
        <w:spacing w:after="40"/>
        <w:ind w:left="440" w:hanging="440"/>
        <w:jc w:val="both"/>
      </w:pPr>
      <w:r/>
      <w:r/>
      <w:r/>
      <w:r/>
      <w:r/>
      <w:r/>
      <w:r>
        <w:rPr>
          <w:i/>
          <w:iCs/>
        </w:rPr>
      </w:r>
      <w:r/>
      <w:r>
        <w:rPr>
          <w:sz w:val="18"/>
        </w:rPr>
        <w:t>[42]</w:t>
        <w:tab/>
      </w:r>
      <w:r>
        <w:rPr>
          <w:i w:val="0"/>
          <w:sz w:val="18"/>
        </w:rPr>
        <w:t>T. Ding, A. Angelopoulos, S. Bates, M. Jordan, and R. Tibshirani, “Class-Conditional Conformal Prediction with Many Classes,” in Advances in Neural Information Processing Systems 36, pp. 64555–64576, 2023, doi: 10.52202/075280-2817.</w:t>
      </w:r>
    </w:p>
    <w:p>
      <w:pPr>
        <w:pStyle w:val="BodyText"/>
        <w:tabs>
          <w:tab w:pos="440" w:val="left"/>
        </w:tabs>
        <w:spacing w:after="40"/>
        <w:ind w:left="440" w:hanging="440"/>
        <w:jc w:val="both"/>
      </w:pPr>
      <w:r/>
      <w:r/>
      <w:r/>
      <w:r/>
      <w:r>
        <w:rPr>
          <w:i/>
          <w:iCs/>
        </w:rPr>
      </w:r>
      <w:r/>
      <w:r>
        <w:rPr>
          <w:sz w:val="18"/>
        </w:rPr>
        <w:t>[43]</w:t>
        <w:tab/>
      </w:r>
      <w:r>
        <w:rPr>
          <w:i w:val="0"/>
          <w:sz w:val="18"/>
        </w:rPr>
        <w:t>Y. Li, Z. Zhang, and X. Zhou, “Fair Uncertainty Quantification for Depression Prediction,” IEEE Trans. Affective Comput., vol. 17, no. 3, pp. 3271–3282, Jul. 2026, doi: 10.1109/taffc.2026.3702998.</w:t>
      </w:r>
    </w:p>
    <w:p>
      <w:pPr>
        <w:pStyle w:val="BodyText"/>
        <w:tabs>
          <w:tab w:pos="440" w:val="left"/>
        </w:tabs>
        <w:spacing w:after="40"/>
        <w:ind w:left="440" w:hanging="440"/>
        <w:jc w:val="both"/>
      </w:pPr>
      <w:r/>
      <w:r/>
      <w:r/>
      <w:r/>
      <w:r>
        <w:rPr>
          <w:i/>
          <w:iCs/>
        </w:rPr>
      </w:r>
      <w:r/>
      <w:r>
        <w:rPr>
          <w:sz w:val="18"/>
        </w:rPr>
        <w:t>[44]</w:t>
        <w:tab/>
      </w:r>
      <w:r>
        <w:rPr>
          <w:i w:val="0"/>
          <w:sz w:val="18"/>
        </w:rPr>
        <w:t>R. Bahrami and A. M. Fotouhi, “Investigation of Inter-Patient, Intra-Patient, and Patient-Specific Based Training in Deep Learning for Classification of Heartbeat Arrhythmia,” Cardiovasc Eng Tech, vol. 16, no. 3, pp. 333–342, Jun. 2025, doi: 10.1007/s13239-025-00777-y.</w:t>
      </w:r>
    </w:p>
    <w:p>
      <w:pPr>
        <w:pStyle w:val="BodyText"/>
        <w:tabs>
          <w:tab w:pos="440" w:val="left"/>
        </w:tabs>
        <w:spacing w:after="40"/>
        <w:ind w:left="440" w:hanging="440"/>
        <w:jc w:val="both"/>
      </w:pPr>
      <w:r/>
      <w:r/>
      <w:r/>
      <w:r/>
      <w:r>
        <w:rPr>
          <w:i/>
          <w:iCs/>
        </w:rPr>
      </w:r>
      <w:r/>
      <w:r>
        <w:rPr>
          <w:sz w:val="18"/>
        </w:rPr>
        <w:t>[45]</w:t>
        <w:tab/>
      </w:r>
      <w:r>
        <w:rPr>
          <w:i w:val="0"/>
          <w:sz w:val="18"/>
        </w:rPr>
        <w:t>P. C. Marques F., “Universal distribution of the empirical coverage in split conformal prediction,” Statistics &amp; Probability Letters, vol. 219, Apr. 2025, doi: 10.1016/j.spl.2024.110350.</w:t>
      </w:r>
    </w:p>
    <w:p>
      <w:pPr>
        <w:pStyle w:val="BodyText"/>
        <w:tabs>
          <w:tab w:pos="440" w:val="left"/>
        </w:tabs>
        <w:spacing w:after="40"/>
        <w:ind w:left="440" w:hanging="440"/>
        <w:jc w:val="both"/>
      </w:pPr>
      <w:r/>
      <w:r/>
      <w:r/>
      <w:r/>
      <w:r>
        <w:rPr>
          <w:i/>
          <w:iCs/>
        </w:rPr>
      </w:r>
      <w:r/>
      <w:r>
        <w:rPr>
          <w:sz w:val="18"/>
        </w:rPr>
        <w:t>[46]</w:t>
        <w:tab/>
      </w:r>
      <w:r>
        <w:rPr>
          <w:i w:val="0"/>
          <w:sz w:val="18"/>
        </w:rPr>
        <w:t>D. Wang, P. Wang, Z. Ji, X. Yang, and H. Li, “Conformal Loss-Controlling Prediction,” IEEE Trans. Neural Netw. Learning Syst., vol. 36, no. 2, pp. 2973–2983, Feb. 2025, doi: 10.1109/tnnls.2024.3356512.</w:t>
      </w:r>
    </w:p>
    <w:p>
      <w:pPr>
        <w:pStyle w:val="BodyText"/>
        <w:tabs>
          <w:tab w:pos="440" w:val="left"/>
        </w:tabs>
        <w:spacing w:after="40"/>
        <w:ind w:left="440" w:hanging="440"/>
        <w:jc w:val="both"/>
      </w:pPr>
      <w:r/>
      <w:r/>
      <w:r>
        <w:rPr>
          <w:i/>
          <w:iCs/>
        </w:rPr>
      </w:r>
      <w:r/>
      <w:r/>
      <w:r/>
      <w:r/>
      <w:r>
        <w:rPr>
          <w:i/>
          <w:iCs/>
        </w:rPr>
      </w:r>
      <w:r/>
      <w:r>
        <w:rPr>
          <w:sz w:val="18"/>
        </w:rPr>
        <w:t>[47]</w:t>
        <w:tab/>
      </w:r>
      <w:r>
        <w:rPr>
          <w:i w:val="0"/>
          <w:sz w:val="18"/>
        </w:rPr>
        <w:t>T. Bender et al., “Analysis of a Deep Learning Model for 12-Lead ECG Classification Reveals Learned Features Similar to Diagnostic Criteria,” IEEE J. Biomed. Health Inform., vol. 28, no. 4, pp. 1848–1859, Apr. 2024, doi: 10.1109/jbhi.2023.3271858.</w:t>
      </w:r>
    </w:p>
    <w:bookmarkEnd w:id="6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eastAsia="Times New Roman" w:hAnsi="Times New Roman"/>
      <w:color w:val="000000"/>
      <w:sz w:val="21"/>
    </w:rPr>
  </w:style>
  <w:style w:styleId="BodyText" w:type="paragraph">
    <w:name w:val="Body Text"/>
    <w:basedOn w:val="Normal"/>
    <w:link w:val="BodyTextChar"/>
    <w:qFormat/>
    <w:pPr>
      <w:spacing w:after="180" w:before="180"/>
    </w:pPr>
    <w:rPr>
      <w:rFonts w:ascii="Times New Roman" w:eastAsia="Times New Roman" w:hAnsi="Times New Roman"/>
      <w:color w:val="000000"/>
      <w:sz w:val="21"/>
    </w:rPr>
  </w:style>
  <w:style w:customStyle="1" w:styleId="FirstParagraph" w:type="paragraph">
    <w:name w:val="First Paragraph"/>
    <w:basedOn w:val="BodyText"/>
    <w:next w:val="BodyText"/>
    <w:qFormat/>
    <w:rPr>
      <w:rFonts w:ascii="Times New Roman" w:eastAsia="Times New Roman" w:hAnsi="Times New Roman"/>
      <w:color w:val="000000"/>
      <w:sz w:val="21"/>
    </w:rPr>
  </w:style>
  <w:style w:customStyle="1" w:styleId="Compact" w:type="paragraph">
    <w:name w:val="Compact"/>
    <w:basedOn w:val="BodyText"/>
    <w:qFormat/>
    <w:pPr>
      <w:spacing w:after="36" w:before="36"/>
    </w:pPr>
    <w:rPr>
      <w:rFonts w:ascii="Times New Roman" w:eastAsia="Times New Roman" w:hAnsi="Times New Roman"/>
      <w:color w:val="000000"/>
      <w:sz w:val="21"/>
    </w:rPr>
  </w:style>
  <w:style w:styleId="Title" w:type="paragraph">
    <w:name w:val="Title"/>
    <w:basedOn w:val="Normal"/>
    <w:next w:val="BodyText"/>
    <w:link w:val="TitleChar"/>
    <w:uiPriority w:val="10"/>
    <w:qFormat/>
    <w:rsid w:val="00A10FD9"/>
    <w:pPr>
      <w:spacing w:after="80" w:before="160" w:line="240" w:lineRule="auto"/>
      <w:contextualSpacing/>
      <w:jc w:val="center"/>
    </w:pPr>
    <w:rPr>
      <w:rFonts w:ascii="Times New Roman" w:hAnsi="Times New Roman"/>
      <w:b/>
      <w:i w:val="0"/>
      <w:color w:val="000000"/>
      <w:sz w:val="32"/>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240"/>
      <w:outlineLvl w:val="0"/>
    </w:pPr>
    <w:rPr>
      <w:rFonts w:ascii="Times New Roman" w:hAnsi="Times New Roman"/>
      <w:b/>
      <w:i w:val="0"/>
      <w:color w:val="000000"/>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hAnsi="Times New Roman"/>
      <w:b/>
      <w:i w:val="0"/>
      <w:color w:val="000000"/>
      <w:sz w:val="2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hAnsi="Times New Roman"/>
      <w:b w:val="0"/>
      <w:i/>
      <w:color w:val="000000"/>
      <w:sz w:val="22"/>
      <w:szCs w:val="28"/>
    </w:rPr>
  </w:style>
  <w:style w:styleId="Heading4" w:type="paragraph">
    <w:name w:val="heading 4"/>
    <w:basedOn w:val="Normal"/>
    <w:next w:val="BodyText"/>
    <w:link w:val="Heading4Char"/>
    <w:uiPriority w:val="9"/>
    <w:semiHidden/>
    <w:unhideWhenUsed/>
    <w:qFormat/>
    <w:rsid w:val="00A10FD9"/>
    <w:pPr>
      <w:keepNext/>
      <w:keepLines/>
      <w:spacing w:after="80" w:before="160"/>
      <w:outlineLvl w:val="3"/>
    </w:pPr>
    <w:rPr>
      <w:rFonts w:ascii="Times New Roman" w:hAnsi="Times New Roman"/>
      <w:b w:val="0"/>
      <w:i/>
      <w:iCs/>
      <w:color w:val="000000"/>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rPr>
      <w:rFonts w:ascii="Times New Roman" w:eastAsia="Times New Roman" w:hAnsi="Times New Roman"/>
      <w:color w:val="000000"/>
      <w:sz w:val="18"/>
    </w:rPr>
  </w:style>
  <w:style w:customStyle="1" w:styleId="ImageCaption" w:type="paragraph">
    <w:name w:val="Image Caption"/>
    <w:basedOn w:val="Caption"/>
    <w:rPr>
      <w:rFonts w:ascii="Times New Roman" w:eastAsia="Times New Roman" w:hAnsi="Times New Roman"/>
      <w:color w:val="000000"/>
      <w:sz w:val="18"/>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8" Type="http://schemas.openxmlformats.org/officeDocument/2006/relationships/image" Target="media/rId18.png"/><Relationship Id="rId30" Type="http://schemas.openxmlformats.org/officeDocument/2006/relationships/image" Target="media/rId30.png"/><Relationship Id="rId33" Type="http://schemas.openxmlformats.org/officeDocument/2006/relationships/image" Target="media/rId33.png"/><Relationship Id="rId37" Type="http://schemas.openxmlformats.org/officeDocument/2006/relationships/image" Target="media/rId37.png"/><Relationship Id="rId41" Type="http://schemas.openxmlformats.org/officeDocument/2006/relationships/image" Target="media/rId41.png"/><Relationship Id="rId45" Type="http://schemas.openxmlformats.org/officeDocument/2006/relationships/image" Target="media/rId45.png"/><Relationship Id="rId49" Type="http://schemas.openxmlformats.org/officeDocument/2006/relationships/image" Target="media/rId4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Block-Level Feasibility of Conformal Calibration on Clinical ECG Data: An Empirical Audit</dc:title>
  <dc:creator/>
  <cp:keywords/>
  <dcterms:created xsi:type="dcterms:W3CDTF">2026-10-03T13:36:05Z</dcterms:created>
  <dcterms:modified xsi:type="dcterms:W3CDTF">2026-10-03T13:36:05Z</dcterms:modified>
</cp:coreProperties>
</file>

<file path=docProps/custom.xml><?xml version="1.0" encoding="utf-8"?>
<Properties xmlns="http://schemas.openxmlformats.org/officeDocument/2006/custom-properties" xmlns:vt="http://schemas.openxmlformats.org/officeDocument/2006/docPropsVTypes"/>
</file>