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2026-10-04 from commit 4e95c57.</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when several dependence sources are declared and coverage is required per diagnosis, and whether ignoring blocks costs coverage. From metadata alone, declaring the four documented dependence sources of PTB-XL leaves a single admissible calibration block, and under patient blocking 24 of 44 diagnostic SCP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Most of the coverage gap between HCP and naive calibration is mechanical: 75–110% of it persists when dependence is permuted away and block sizes are kept.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Dunn et</w:t>
      </w:r>
      <w:r>
        <w:t xml:space="preserve"> </w:t>
      </w:r>
      <w:r>
        <w:t xml:space="preserve">al. state how many groups their hierarchical constructions need for non-trivial</w:t>
      </w:r>
      <w:r>
        <w:t xml:space="preserve"> </w:t>
      </w:r>
      <w:r>
        <w:t xml:space="preserve">prediction sets [13], and Sim and Kim showed for ECG monitoring that the</w:t>
      </w:r>
      <w:r>
        <w:t xml:space="preserve"> </w:t>
      </w:r>
      <w:r>
        <w:t xml:space="preserve">false-alarm guarantee of split conformal prediction counts subjects, not beats,</w:t>
      </w:r>
      <w:r>
        <w:t xml:space="preserve"> </w:t>
      </w:r>
      <w:r>
        <w:t xml:space="preserve">and needs at least 19 calibration subjects at</w:t>
      </w:r>
      <w:r>
        <w:t xml:space="preserve"> </w:t>
      </w:r>
      <m:oMath>
        <m:r>
          <m:t>α</m:t>
        </m:r>
        <m:r>
          <m:rPr>
            <m:sty m:val="p"/>
          </m:rPr>
          <m:t>=</m:t>
        </m:r>
        <m:r>
          <m:t>0.05</m:t>
        </m:r>
      </m:oMath>
      <w:r>
        <w:t xml:space="preserve"> </w:t>
      </w:r>
      <w:r>
        <w:t xml:space="preserve">[10].</w:t>
      </w:r>
    </w:p>
    <w:p>
      <w:pPr>
        <w:pStyle w:val="BodyText"/>
        <w:jc w:val="both"/>
      </w:pPr>
      <w:r>
        <w:t xml:space="preserve">These results concern one grouping at a time. How the requirement plays out in</w:t>
      </w:r>
      <w:r>
        <w:t xml:space="preserve"> </w:t>
      </w:r>
      <w:r>
        <w:t xml:space="preserve">real clinical resources, where several dependence sources can be crossed and</w:t>
      </w:r>
      <w:r>
        <w:t xml:space="preserve"> </w:t>
      </w:r>
      <w:r>
        <w:t xml:space="preserve">coverage may be required per diagnosis, and how much of an observed coverage gap</w:t>
      </w:r>
      <w:r>
        <w:t xml:space="preserve"> </w:t>
      </w:r>
      <w:r>
        <w:t xml:space="preserve">reflects dependence rather than the method itself, remains insufficiently</w:t>
      </w:r>
      <w:r>
        <w:t xml:space="preserve"> </w:t>
      </w:r>
      <w:r>
        <w:t xml:space="preserve">characterized. We address these design-stage questions by auditing three public</w:t>
      </w:r>
      <w:r>
        <w:t xml:space="preserve"> </w:t>
      </w:r>
      <w:r>
        <w:t xml:space="preserve">ECG resources: PTB-XL [2], [14], in which 18,869 patients contribute 1.16 records</w:t>
      </w:r>
      <w:r>
        <w:t xml:space="preserve"> </w:t>
      </w:r>
      <w:r>
        <w:t xml:space="preserve">on average; the MIT-BIH Arrhythmia Database [15], whose 44 non-paced records come</w:t>
      </w:r>
      <w:r>
        <w:t xml:space="preserve"> </w:t>
      </w:r>
      <w:r>
        <w:t xml:space="preserve">from 43 subjects and hold more than 1,500 beats each; and the PhysioNet/CinC</w:t>
      </w:r>
      <w:r>
        <w:t xml:space="preserve"> </w:t>
      </w:r>
      <w:r>
        <w:t xml:space="preserve">Challenge 2021 collection [16], which does not document a patient identifier. Two questions guide the audit. Can a block-level guarantee be</w:t>
      </w:r>
      <w:r>
        <w:t xml:space="preserve"> </w:t>
      </w:r>
      <w:r>
        <w:t xml:space="preserve">enforced at conventional error rates (RQ1)? Does ignoring block structure cost</w:t>
      </w:r>
      <w:r>
        <w:t xml:space="preserve"> </w:t>
      </w:r>
      <w:r>
        <w:t xml:space="preserve">coverage, and through what mechanism (RQ2)? Fig. 1 shows the two stages that</w:t>
      </w:r>
      <w:r>
        <w:t xml:space="preserve"> </w:t>
      </w:r>
      <w:r>
        <w:t xml:space="preserve">answer them, RQ1 from metadata alone and RQ2 from the conformity scores of three</w:t>
      </w:r>
      <w:r>
        <w:t xml:space="preserve"> </w:t>
      </w:r>
      <w:r>
        <w:t xml:space="preserve">backbones, with the section that reports each step.</w:t>
      </w:r>
    </w:p>
    <w:p>
      <w:pPr>
        <w:pStyle w:val="CaptionedFigure"/>
        <w:jc w:val="both"/>
      </w:pPr>
      <w:r>
        <w:drawing>
          <wp:inline>
            <wp:extent cx="5303520" cy="3723951"/>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03520" cy="3723951"/>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carry the block-count requirement known for single groupings [13], [10] over to</w:t>
      </w:r>
      <w:r>
        <w:t xml:space="preserve"> </w:t>
      </w:r>
      <w:r>
        <w:t xml:space="preserve">the design of clinical ECG studies, as a metadata-only feasibility audit for HCP</w:t>
      </w:r>
      <w:r>
        <w:t xml:space="preserve"> </w:t>
      </w:r>
      <w:r>
        <w:t xml:space="preserve">(RQ1; §3, §5.1). Combined with the join of the declared dependence sources</w:t>
      </w:r>
      <w:r>
        <w:t xml:space="preserve"> </w:t>
      </w:r>
      <w:r>
        <w:t xml:space="preserve">(Proposition 2) and counted per diagnostic label (Proposition 3), the HCP bound</w:t>
      </w:r>
      <w:r>
        <w:t xml:space="preserve"> </w:t>
      </w:r>
      <w:r>
        <w:t xml:space="preserve">yields verdicts that are exact given the declared sources, before any model is</w:t>
      </w:r>
      <w:r>
        <w:t xml:space="preserve"> </w:t>
      </w:r>
      <w:r>
        <w:t xml:space="preserve">trained: all four documented PTB-XL sources together leave one admissible</w:t>
      </w:r>
      <w:r>
        <w:t xml:space="preserve"> </w:t>
      </w:r>
      <w:r>
        <w:t xml:space="preserve">calibration block, and under patient blocking 24 of 44 diagnostic SCP statements</w:t>
      </w:r>
      <w:r>
        <w:t xml:space="preserve"> </w:t>
      </w:r>
      <w:r>
        <w:t xml:space="preserve">lack a finite per-label threshold at</w:t>
      </w:r>
      <w:r>
        <w:t xml:space="preserve"> </w:t>
      </w:r>
      <m:oMath>
        <m:r>
          <m:t>α</m:t>
        </m:r>
        <m:r>
          <m:rPr>
            <m:sty m:val="p"/>
          </m:rPr>
          <m:t>=</m:t>
        </m:r>
        <m:r>
          <m:t>0.05</m:t>
        </m:r>
      </m:oMath>
      <w:r>
        <w:t xml:space="preserve"> </w:t>
      </w:r>
      <w:r>
        <w:t xml:space="preserve">even when all of fold 9 serves</w:t>
      </w:r>
      <w:r>
        <w:t xml:space="preserve"> </w:t>
      </w:r>
      <w:r>
        <w:t xml:space="preserve">for calibration. For MIT-BIH, an even split of the 22 evaluation subjects leaves</w:t>
      </w:r>
      <w:r>
        <w:t xml:space="preserve"> </w:t>
      </w:r>
      <w:r>
        <w:t xml:space="preserve">too few calibration blocks for a subject-level guarantee at the 95% level, in</w:t>
      </w:r>
      <w:r>
        <w:t xml:space="preserve"> </w:t>
      </w:r>
      <w:r>
        <w:t xml:space="preserve">line with Sim and Kim’s verdict for their own split [10].</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within</w:t>
      </w:r>
      <w:r>
        <w:t xml:space="preserve"> </w:t>
      </w:r>
      <w:r>
        <w:t xml:space="preserve">a factorial design the shortfall is attributed mainly to clustering, amplified by</w:t>
      </w:r>
      <w:r>
        <w:t xml:space="preserve"> </w:t>
      </w:r>
      <w:r>
        <w:t xml:space="preserve">block-size imbalance; and in a dose–response experiment within MIT-BIH it grows</w:t>
      </w:r>
      <w:r>
        <w:t xml:space="preserve"> </w:t>
      </w:r>
      <w:r>
        <w:t xml:space="preserve">with the 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observed coverage gap</w:t>
      </w:r>
      <w:r>
        <w:t xml:space="preserve"> </w:t>
      </w:r>
      <w:r>
        <w:t xml:space="preserve">between HCP and naive split conformal persists when dependence is permuted away</w:t>
      </w:r>
      <w:r>
        <w:t xml:space="preserve"> </w:t>
      </w:r>
      <w:r>
        <w:t xml:space="preserve">while block geometry is preserved, so most of that gap is mechanical rather than</w:t>
      </w:r>
      <w:r>
        <w:t xml:space="preserve"> </w:t>
      </w:r>
      <w:r>
        <w:t xml:space="preserve">a correction for dependence;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finding is checked across three backbones whose sizes differ more than a</w:t>
      </w:r>
      <w:r>
        <w:t xml:space="preserve"> </w:t>
      </w:r>
      <w:r>
        <w:t xml:space="preserve">hundredfold and across two checkpoints; resampling is always over blocks, and the</w:t>
      </w:r>
      <w:r>
        <w:t xml:space="preserve"> </w:t>
      </w:r>
      <w:r>
        <w:t xml:space="preserve">held-out PTB-XL fold remains unexamined. We keep three levels of evidence 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7"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and network dependence [19]. Bhattacharyya and</w:t>
      </w:r>
      <w:r>
        <w:t xml:space="preserve"> </w:t>
      </w:r>
      <w:r>
        <w:t xml:space="preserve">Barber consider groups whose membership drives the shift [20], so exchangeability</w:t>
      </w:r>
      <w:r>
        <w:t xml:space="preserve"> </w:t>
      </w:r>
      <w:r>
        <w:t xml:space="preserve">still holds within each group; our setting is the reverse, with stable group</w:t>
      </w:r>
      <w:r>
        <w:t xml:space="preserve"> </w:t>
      </w:r>
      <w:r>
        <w:t xml:space="preserve">proportions but non-exchangeable observations within a block. Fontana et al.</w:t>
      </w:r>
      <w:r>
        <w:t xml:space="preserve"> </w:t>
      </w:r>
      <w:r>
        <w:t xml:space="preserve">review the framework and its variants, Mondrian conformal prediction included</w:t>
      </w:r>
      <w:r>
        <w:t xml:space="preserve"> </w:t>
      </w:r>
      <w:r>
        <w:t xml:space="preserve">[5].</w:t>
      </w:r>
    </w:p>
    <w:p>
      <w:pPr>
        <w:pStyle w:val="BodyText"/>
        <w:jc w:val="both"/>
      </w:pPr>
      <w:r>
        <w:t xml:space="preserve">For repeated measurements, Lee et al. formalized hierarchical exchangeability and</w:t>
      </w:r>
      <w:r>
        <w:t xml:space="preserve"> </w:t>
      </w:r>
      <w:r>
        <w:t xml:space="preserve">extended conformal prediction to it [12]; (1) and (2) restate their threshold and</w:t>
      </w:r>
      <w:r>
        <w:t xml:space="preserve"> </w:t>
      </w:r>
      <w:r>
        <w:t xml:space="preserve">guarantee, which we take as given. Their experiments use simulated data and a</w:t>
      </w:r>
      <w:r>
        <w:t xml:space="preserve"> </w:t>
      </w:r>
      <w:r>
        <w:t xml:space="preserve">Lorenz-96 system. Working independently, Dunn et al. developed conformal</w:t>
      </w:r>
      <w:r>
        <w:t xml:space="preserve"> </w:t>
      </w:r>
      <w:r>
        <w:t xml:space="preserve">constructions for two-layer hierarchical models, among them double conformal</w:t>
      </w:r>
      <w:r>
        <w:t xml:space="preserve"> </w:t>
      </w:r>
      <w:r>
        <w:t xml:space="preserve">prediction, CDF pooling and single and repeated subsampling, with and without</w:t>
      </w:r>
      <w:r>
        <w:t xml:space="preserve"> </w:t>
      </w:r>
      <w:r>
        <w:t xml:space="preserve">covariates, illustrated on simulations and on a sleep-deprivation study of 18</w:t>
      </w:r>
      <w:r>
        <w:t xml:space="preserve"> </w:t>
      </w:r>
      <w:r>
        <w:t xml:space="preserve">subjects [13]. Lee et al. leave open how study design affects inference, noting</w:t>
      </w:r>
      <w:r>
        <w:t xml:space="preserve"> </w:t>
      </w:r>
      <w:r>
        <w:t xml:space="preserve">that an analyst may trade many small groups against few large ones and that</w:t>
      </w:r>
      <w:r>
        <w:t xml:space="preserve"> </w:t>
      </w:r>
      <w:r>
        <w:rPr>
          <w:i/>
          <w:iCs/>
        </w:rPr>
        <w:t xml:space="preserve">characterizing the pros and cons of this tradeoff is an important question to</w:t>
      </w:r>
      <w:r>
        <w:rPr>
          <w:i/>
          <w:iCs/>
        </w:rPr>
        <w:t xml:space="preserve"> </w:t>
      </w:r>
      <w:r>
        <w:rPr>
          <w:i/>
          <w:iCs/>
        </w:rPr>
        <w:t xml:space="preserve">determine how study design affects inference in this distribution-free setting</w:t>
      </w:r>
      <w:r>
        <w:t xml:space="preserve"> </w:t>
      </w:r>
      <w:r>
        <w:t xml:space="preserve">[12].</w:t>
      </w:r>
    </w:p>
    <w:bookmarkEnd w:id="14"/>
    <w:bookmarkStart w:id="15" w:name="group-counts-and-clustered-thresholds"/>
    <w:p>
      <w:pPr>
        <w:pStyle w:val="Heading2"/>
      </w:pPr>
      <w:r>
        <w:t xml:space="preserve">2.2 Group counts and clustered thresholds</w:t>
      </w:r>
    </w:p>
    <w:p>
      <w:pPr>
        <w:pStyle w:val="FirstParagraph"/>
        <w:jc w:val="both"/>
      </w:pPr>
      <w:r>
        <w:t xml:space="preserve">That the number of independent units, not of observations, limits a</w:t>
      </w:r>
      <w:r>
        <w:t xml:space="preserve"> </w:t>
      </w:r>
      <w:r>
        <w:t xml:space="preserve">distribution-free guarantee is already established. Dunn et al. state, for each</w:t>
      </w:r>
      <w:r>
        <w:t xml:space="preserve"> </w:t>
      </w:r>
      <w:r>
        <w:t xml:space="preserve">of their finite-sample constructions, how many groups non-trivial prediction</w:t>
      </w:r>
      <w:r>
        <w:t xml:space="preserve"> </w:t>
      </w:r>
      <w:r>
        <w:t xml:space="preserve">sets require, between</w:t>
      </w:r>
      <w:r>
        <w:t xml:space="preserve"> </w:t>
      </w:r>
      <m:oMath>
        <m:r>
          <m:t>1</m:t>
        </m:r>
        <m:r>
          <m:rPr>
            <m:sty m:val="p"/>
          </m:rPr>
          <m:t>/</m:t>
        </m:r>
        <m:r>
          <m:t>α</m:t>
        </m:r>
        <m:r>
          <m:rPr>
            <m:sty m:val="p"/>
          </m:rPr>
          <m:t>−</m:t>
        </m:r>
        <m:r>
          <m:t>1</m:t>
        </m:r>
      </m:oMath>
      <w:r>
        <w:t xml:space="preserve"> </w:t>
      </w:r>
      <w:r>
        <w:t xml:space="preserve">and</w:t>
      </w:r>
      <w:r>
        <w:t xml:space="preserve"> </w:t>
      </w:r>
      <m:oMath>
        <m:r>
          <m:t>4</m:t>
        </m:r>
        <m:r>
          <m:rPr>
            <m:sty m:val="p"/>
          </m:rPr>
          <m:t>/</m:t>
        </m:r>
        <m:r>
          <m:t>α</m:t>
        </m:r>
        <m:r>
          <m:rPr>
            <m:sty m:val="p"/>
          </m:rPr>
          <m:t>−</m:t>
        </m:r>
        <m:r>
          <m:t>1</m:t>
        </m:r>
      </m:oMath>
      <w:r>
        <w:t xml:space="preserve"> </w:t>
      </w:r>
      <w:r>
        <w:t xml:space="preserve">depending on the</w:t>
      </w:r>
      <w:r>
        <w:t xml:space="preserve"> </w:t>
      </w:r>
      <w:r>
        <w:t xml:space="preserve">construction [13]. For ECG monitoring, Sim and Kim show that the false-alarm</w:t>
      </w:r>
      <w:r>
        <w:t xml:space="preserve"> </w:t>
      </w:r>
      <w:r>
        <w:t xml:space="preserve">guarantee of split conformal prediction counts exchangeable subjects rather than</w:t>
      </w:r>
      <w:r>
        <w:t xml:space="preserve"> </w:t>
      </w:r>
      <w:r>
        <w:t xml:space="preserve">beats, give the minimum of</w:t>
      </w:r>
      <w:r>
        <w:t xml:space="preserve"> </w:t>
      </w:r>
      <m:oMath>
        <m:r>
          <m:t>1</m:t>
        </m:r>
        <m:r>
          <m:rPr>
            <m:sty m:val="p"/>
          </m:rPr>
          <m:t>/</m:t>
        </m:r>
        <m:r>
          <m:t>α</m:t>
        </m:r>
        <m:r>
          <m:rPr>
            <m:sty m:val="p"/>
          </m:rPr>
          <m:t>−</m:t>
        </m:r>
        <m:r>
          <m:t>1</m:t>
        </m:r>
      </m:oMath>
      <w:r>
        <w:t xml:space="preserve"> </w:t>
      </w:r>
      <w:r>
        <w:t xml:space="preserve">calibration subjects (19 at</w:t>
      </w:r>
      <w:r>
        <w:t xml:space="preserve"> </w:t>
      </w:r>
      <m:oMath>
        <m:r>
          <m:t>α</m:t>
        </m:r>
        <m:r>
          <m:rPr>
            <m:sty m:val="p"/>
          </m:rPr>
          <m:t>=</m:t>
        </m:r>
        <m:r>
          <m:t>0.05</m:t>
        </m:r>
      </m:oMath>
      <w:r>
        <w:t xml:space="preserve">), decline a subject-level threshold for MIT-BIH because their split</w:t>
      </w:r>
      <w:r>
        <w:t xml:space="preserve"> </w:t>
      </w:r>
      <w:r>
        <w:t xml:space="preserve">leaves too few calibration subjects, and show that a beat-calibrated threshold</w:t>
      </w:r>
      <w:r>
        <w:t xml:space="preserve"> </w:t>
      </w:r>
      <w:r>
        <w:t xml:space="preserve">used for patient-level alarms exceeds its nominal false-alarm rate [10]. On the</w:t>
      </w:r>
      <w:r>
        <w:t xml:space="preserve"> </w:t>
      </w:r>
      <w:r>
        <w:t xml:space="preserve">precision side, Noonan derives a large-sample variance for the coverage of a</w:t>
      </w:r>
      <w:r>
        <w:t xml:space="preserve"> </w:t>
      </w:r>
      <w:r>
        <w:t xml:space="preserve">threshold estimated from clustered data, in which the relevant correlation is</w:t>
      </w:r>
      <w:r>
        <w:t xml:space="preserve"> </w:t>
      </w:r>
      <w:r>
        <w:t xml:space="preserve">that of the exceedance indicator rather than of the score and can change with the</w:t>
      </w:r>
      <w:r>
        <w:t xml:space="preserve"> </w:t>
      </w:r>
      <w:r>
        <w:t xml:space="preserve">target level [21].</w:t>
      </w:r>
    </w:p>
    <w:p>
      <w:pPr>
        <w:pStyle w:val="BodyText"/>
        <w:jc w:val="both"/>
      </w:pPr>
      <w:r>
        <w:t xml:space="preserve">These results are stated for one grouping at a time. They do not ask which</w:t>
      </w:r>
      <w:r>
        <w:t xml:space="preserve"> </w:t>
      </w:r>
      <w:r>
        <w:t xml:space="preserve">grouping a clinical dataset admits when several dependence sources are declared,</w:t>
      </w:r>
      <w:r>
        <w:t xml:space="preserve"> </w:t>
      </w:r>
      <w:r>
        <w:t xml:space="preserve">how the count behaves per diagnostic label, or how much of an observed coverage</w:t>
      </w:r>
      <w:r>
        <w:t xml:space="preserve"> </w:t>
      </w:r>
      <w:r>
        <w:t xml:space="preserve">gap reflects dependence rather than the construction of the method.</w:t>
      </w:r>
    </w:p>
    <w:bookmarkEnd w:id="15"/>
    <w:bookmarkStart w:id="16" w:name="Xde641f5d420a891fdb073e7aa4fa0944e53f724"/>
    <w:p>
      <w:pPr>
        <w:pStyle w:val="Heading2"/>
      </w:pPr>
      <w:r>
        <w:t xml:space="preserve">2.3 Multi-label, clinical and ECG applications</w:t>
      </w:r>
    </w:p>
    <w:p>
      <w:pPr>
        <w:pStyle w:val="FirstParagraph"/>
        <w:jc w:val="both"/>
      </w:pPr>
      <w:r>
        <w:t xml:space="preserve">Multi-label conformal methods, surveyed by Papadopoulos [22],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[23],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[24], [25], since mixing them inflates reported</w:t>
      </w:r>
      <w:r>
        <w:t xml:space="preserve"> </w:t>
      </w:r>
      <w:r>
        <w:t xml:space="preserve">performance [26]. Clinical uses of conformal prediction are surveyed in [6], and</w:t>
      </w:r>
      <w:r>
        <w:t xml:space="preserve"> </w:t>
      </w:r>
      <w:r>
        <w:t xml:space="preserve">conformal risk control [27] and time-series conformal prediction [28] extend the</w:t>
      </w:r>
      <w:r>
        <w:t xml:space="preserve"> </w:t>
      </w:r>
      <w:r>
        <w:t xml:space="preserve">framework to arbitrary losses and temporal data. On 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w:t>
      </w:r>
      <w:r>
        <w:t xml:space="preserve"> </w:t>
      </w:r>
      <w:r>
        <w:t xml:space="preserve">arrhythmia classification in intensive care, Kinalioğlu finds that marginal</w:t>
      </w:r>
      <w:r>
        <w:t xml:space="preserve"> </w:t>
      </w:r>
      <w:r>
        <w:t xml:space="preserve">coverage can hide class- and patient-level failures [9]. Beyond cardiology,</w:t>
      </w:r>
      <w:r>
        <w:t xml:space="preserve"> </w:t>
      </w:r>
      <w:r>
        <w:t xml:space="preserve">calibration that respects groups has been used for patients nested in thousands</w:t>
      </w:r>
      <w:r>
        <w:t xml:space="preserve"> </w:t>
      </w:r>
      <w:r>
        <w:t xml:space="preserve">of hospitals [29].</w:t>
      </w:r>
    </w:p>
    <w:p>
      <w:pPr>
        <w:pStyle w:val="BodyText"/>
        <w:jc w:val="both"/>
      </w:pPr>
      <w:r>
        <w:rPr>
          <w:b/>
          <w:bCs/>
        </w:rPr>
        <w:t xml:space="preserve">Position of this study.</w:t>
      </w:r>
      <w:r>
        <w:t xml:space="preserve"> </w:t>
      </w:r>
      <w:r>
        <w:t xml:space="preserve">We take the threshold and guarantee of HCP [12] and</w:t>
      </w:r>
      <w:r>
        <w:t xml:space="preserve"> </w:t>
      </w:r>
      <w:r>
        <w:t xml:space="preserve">the principle that independent units must be counted [13], [10] as given. What</w:t>
      </w:r>
      <w:r>
        <w:t xml:space="preserve"> </w:t>
      </w:r>
      <w:r>
        <w:t xml:space="preserve">we add is their application at the design stage of clinical ECG studies: the join</w:t>
      </w:r>
      <w:r>
        <w:t xml:space="preserve"> </w:t>
      </w:r>
      <w:r>
        <w:t xml:space="preserve">of crossed dependence sources as the finest admissible calibration grouping</w:t>
      </w:r>
      <w:r>
        <w:t xml:space="preserve"> </w:t>
      </w:r>
      <w:r>
        <w:t xml:space="preserve">(Proposition 2), the block count per diagnostic label (Proposition 3), both</w:t>
      </w:r>
      <w:r>
        <w:t xml:space="preserve"> </w:t>
      </w:r>
      <w:r>
        <w:t xml:space="preserve">evaluated from metadata on three ECG resources, and an empirical decomposition of</w:t>
      </w:r>
      <w:r>
        <w:t xml:space="preserve"> </w:t>
      </w:r>
      <w:r>
        <w:t xml:space="preserve">the coverage gap of naive split conformal prediction with a matched permutation</w:t>
      </w:r>
      <w:r>
        <w:t xml:space="preserve"> </w:t>
      </w:r>
      <w:r>
        <w:t xml:space="preserve">null, a factorial design and a dose–response experiment, which separates</w:t>
      </w:r>
      <w:r>
        <w:t xml:space="preserve"> </w:t>
      </w:r>
      <w:r>
        <w:t xml:space="preserve">dependence from the mechanical effect of the finite-block correction.</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8" w:name="hierarchical-calibration"/>
    <w:p>
      <w:pPr>
        <w:pStyle w:val="Heading2"/>
      </w:pPr>
      <w:r>
        <w:t xml:space="preserve">3.1 Hierarchical calibration</w:t>
      </w:r>
    </w:p>
    <w:p>
      <w:pPr>
        <w:pStyle w:val="FirstParagraph"/>
        <w:jc w:val="both"/>
      </w:pPr>
      <w:r>
        <w:t xml:space="preserve">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Of the</w:t>
      </w:r>
      <w:r>
        <w:t xml:space="preserve"> </w:t>
      </w:r>
      <m:oMath>
        <m:r>
          <m:t>K</m:t>
        </m:r>
      </m:oMath>
      <w:r>
        <w:t xml:space="preserve"> </w:t>
      </w:r>
      <w:r>
        <w:t xml:space="preserve">blocks,</w:t>
      </w:r>
      <w:r>
        <w:t xml:space="preserve"> </w:t>
      </w:r>
      <m:oMath>
        <m:sSub>
          <m:e>
            <m:r>
              <m:t>K</m:t>
            </m:r>
          </m:e>
          <m:sub>
            <m:r>
              <m:t>1</m:t>
            </m:r>
          </m:sub>
        </m:sSub>
      </m:oMath>
      <w:r>
        <w:t xml:space="preserve"> </w:t>
      </w:r>
      <w:r>
        <w:t xml:space="preserve">are held out as calibration blocks. For a target miscoverage</w:t>
      </w:r>
      <w:r>
        <w:t xml:space="preserve"> </w:t>
      </w:r>
      <m:oMath>
        <m:r>
          <m:t>α</m:t>
        </m:r>
        <m:r>
          <m:rPr>
            <m:sty m:val="p"/>
          </m:rPr>
          <m:t>∈</m:t>
        </m:r>
        <m:r>
          <m:rPr>
            <m:sty m:val="p"/>
          </m:rPr>
          <m:t>(</m:t>
        </m:r>
        <m:r>
          <m:t>0</m:t>
        </m:r>
        <m:r>
          <m:rPr>
            <m:sty m:val="p"/>
          </m:rPr>
          <m:t>,</m:t>
        </m:r>
        <m:r>
          <m:t>1</m:t>
        </m:r>
        <m:r>
          <m:rPr>
            <m:sty m:val="p"/>
          </m:rPr>
          <m:t>)</m:t>
        </m:r>
      </m:oMath>
      <w:r>
        <w:t xml:space="preserve">,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The prediction set is</w:t>
      </w:r>
      <w:r>
        <w:t xml:space="preserve"> </w:t>
      </w:r>
      <m:oMath>
        <m:acc>
          <m:accPr>
            <m:chr m:val="̂"/>
          </m:accPr>
          <m:e>
            <m:r>
              <m:t>C</m:t>
            </m:r>
          </m:e>
        </m:acc>
        <m:r>
          <m:rPr>
            <m:sty m:val="p"/>
          </m:rPr>
          <m:t>(</m:t>
        </m:r>
        <m:r>
          <m:t>x</m:t>
        </m:r>
        <m:r>
          <m:rPr>
            <m:sty m:val="p"/>
          </m:rPr>
          <m:t>)</m:t>
        </m:r>
        <m:r>
          <m:rPr>
            <m:sty m:val="p"/>
          </m:rPr>
          <m:t>=</m:t>
        </m:r>
        <m:r>
          <m:rPr>
            <m:sty m:val="p"/>
          </m:rPr>
          <m:t>{</m:t>
        </m:r>
        <m:r>
          <m:t>y</m:t>
        </m:r>
        <m:r>
          <m:rPr>
            <m:sty m:val="p"/>
          </m:rPr>
          <m:t>∈</m:t>
        </m:r>
        <m:r>
          <m:rPr>
            <m:scr m:val="script"/>
            <m:sty m:val="p"/>
          </m:rPr>
          <m:t>L</m:t>
        </m:r>
        <m:r>
          <m:rPr>
            <m:sty m:val="p"/>
          </m:rPr>
          <m:t>:</m:t>
        </m:r>
        <m:r>
          <m:t>s</m:t>
        </m:r>
        <m:r>
          <m:rPr>
            <m:sty m:val="p"/>
          </m:rPr>
          <m:t>(</m:t>
        </m:r>
        <m:r>
          <m:t>x</m:t>
        </m:r>
        <m:r>
          <m:rPr>
            <m:sty m:val="p"/>
          </m:rPr>
          <m:t>,</m:t>
        </m:r>
        <m:r>
          <m:t>y</m:t>
        </m:r>
        <m:r>
          <m:rPr>
            <m:sty m:val="p"/>
          </m:rPr>
          <m:t>)</m:t>
        </m:r>
        <m:r>
          <m:rPr>
            <m:sty m:val="p"/>
          </m:rPr>
          <m:t>≤</m:t>
        </m:r>
        <m:acc>
          <m:accPr>
            <m:chr m:val="̂"/>
          </m:accPr>
          <m:e>
            <m:r>
              <m:t>T</m:t>
            </m:r>
          </m:e>
        </m:acc>
        <m:r>
          <m:rPr>
            <m:sty m:val="p"/>
          </m:rPr>
          <m:t>}</m:t>
        </m:r>
      </m:oMath>
      <w:r>
        <w:t xml:space="preserve"> </w:t>
      </w:r>
      <w:r>
        <w:t xml:space="preserve">for a label set</w:t>
      </w:r>
      <w:r>
        <w:t xml:space="preserve"> </w:t>
      </w:r>
      <m:oMath>
        <m:r>
          <m:rPr>
            <m:scr m:val="script"/>
            <m:sty m:val="p"/>
          </m:rPr>
          <m:t>L</m:t>
        </m:r>
      </m:oMath>
      <w:r>
        <w:t xml:space="preserve">. For a</w:t>
      </w:r>
      <w:r>
        <w:t xml:space="preserve"> </w:t>
      </w:r>
      <w:r>
        <w:t xml:space="preserve">test point from a new block, Lee et al. [12, Th. 1] establish the lower bound</w:t>
      </w:r>
      <w:r>
        <w:t xml:space="preserve"> </w:t>
      </w:r>
      <w:r>
        <w:t xml:space="preserve">in (2); the upper bound holds under the additional condition that the scores are</w:t>
      </w:r>
      <w:r>
        <w:t xml:space="preserve"> </w:t>
      </w:r>
      <w:r>
        <w:t xml:space="preserve">distinct almost surely:</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follows directly from the threshold definition of [12],</w:t>
      </w:r>
      <w:r>
        <w:t xml:space="preserve"> </w:t>
      </w:r>
      <w:r>
        <w:t xml:space="preserve">restated as (1), where it is implicit rather than stated; we make it explicit because it can</w:t>
      </w:r>
      <w:r>
        <w:t xml:space="preserve"> </w:t>
      </w:r>
      <w:r>
        <w:t xml:space="preserve">be checked from metadata, and we write</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the smallest</w:t>
      </w:r>
      <w:r>
        <w:t xml:space="preserve"> </w:t>
      </w:r>
      <w:r>
        <w:t xml:space="preserve">attainable level. Three properties matter.</w:t>
      </w:r>
      <w:r>
        <w:t xml:space="preserve"> </w:t>
      </w:r>
      <m:oMath>
        <m:sSub>
          <m:e>
            <m:r>
              <m:t>N</m:t>
            </m:r>
          </m:e>
          <m:sub>
            <m:r>
              <m:t>k</m:t>
            </m:r>
          </m:sub>
        </m:sSub>
      </m:oMath>
      <w:r>
        <w:t xml:space="preserve"> </w:t>
      </w:r>
      <w:r>
        <w:t xml:space="preserve">is absent from the bound, so</w:t>
      </w:r>
      <w:r>
        <w:t xml:space="preserve"> </w:t>
      </w:r>
      <w:r>
        <w:t xml:space="preserve">adding measurements to existing blocks never restores feasibility; the inequality</w:t>
      </w:r>
      <w:r>
        <w:t xml:space="preserve"> </w:t>
      </w:r>
      <w:r>
        <w:t xml:space="preserve">is not strict, so a grouping exactly on the boundary is feasible (Appendix A.1);</w:t>
      </w:r>
      <w:r>
        <w:t xml:space="preserve"> </w:t>
      </w:r>
      <w:r>
        <w:t xml:space="preserve">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t xml:space="preserve">For subject-level split conformal prediction, where each subject is one</w:t>
      </w:r>
      <w:r>
        <w:t xml:space="preserve"> </w:t>
      </w:r>
      <w:r>
        <w:t xml:space="preserve">exchangeable unit, Sim and Kim give the same count of 19 at</w:t>
      </w:r>
      <w:r>
        <w:t xml:space="preserve"> </w:t>
      </w:r>
      <m:oMath>
        <m:r>
          <m:t>α</m:t>
        </m:r>
        <m:r>
          <m:rPr>
            <m:sty m:val="p"/>
          </m:rPr>
          <m:t>=</m:t>
        </m:r>
        <m:r>
          <m:t>0.05</m:t>
        </m:r>
      </m:oMath>
      <w:r>
        <w:t xml:space="preserve"> </w:t>
      </w:r>
      <w:r>
        <w:t xml:space="preserve">[10],</w:t>
      </w:r>
      <w:r>
        <w:t xml:space="preserve"> </w:t>
      </w:r>
      <w:r>
        <w:t xml:space="preserve">and Dunn et al. state comparable group counts for their constructions [13]. For</w:t>
      </w:r>
      <w:r>
        <w:t xml:space="preserve"> </w:t>
      </w:r>
      <w:r>
        <w:t xml:space="preserve">HCP the count holds whatever the block sizes, because</w:t>
      </w:r>
      <w:r>
        <w:t xml:space="preserve"> </w:t>
      </w:r>
      <m:oMath>
        <m:sSub>
          <m:e>
            <m:r>
              <m:t>N</m:t>
            </m:r>
          </m:e>
          <m:sub>
            <m:r>
              <m:t>k</m:t>
            </m:r>
          </m:sub>
        </m:sSub>
      </m:oMath>
      <w:r>
        <w:t xml:space="preserve"> </w:t>
      </w:r>
      <w:r>
        <w:t xml:space="preserve">does not enter (3).</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follows from</w:t>
      </w:r>
      <w:r>
        <w:t xml:space="preserve"> </w:t>
      </w:r>
      <w:r>
        <w:t xml:space="preserve">averaging</w:t>
      </w:r>
      <w:r>
        <w:t xml:space="preserve"> </w:t>
      </w:r>
      <m:oMath>
        <m:sSub>
          <m:e>
            <m:r>
              <m:t>K</m:t>
            </m:r>
          </m:e>
          <m:sub>
            <m:r>
              <m:t>1</m:t>
            </m:r>
          </m:sub>
        </m:sSub>
      </m:oMath>
      <w:r>
        <w:t xml:space="preserve"> </w:t>
      </w:r>
      <w:r>
        <w:t xml:space="preserve">independent block means with equal weights,</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for the coverage of a</w:t>
      </w:r>
      <w:r>
        <w:t xml:space="preserve"> </w:t>
      </w:r>
      <w:r>
        <w:t xml:space="preserve">pooled threshold it takes the same form with the indicator correlation in place of</w:t>
      </w:r>
      <w:r>
        <w:t xml:space="preserve"> </w:t>
      </w:r>
      <m:oMath>
        <m:r>
          <m:t>ρ</m:t>
        </m:r>
      </m:oMath>
      <w:r>
        <w:t xml:space="preserve"> </w:t>
      </w:r>
      <w:r>
        <w:t xml:space="preserve">[21]. In cluster-randomized trials, minimum-variance weighting of cluster</w:t>
      </w:r>
      <w:r>
        <w:t xml:space="preserve"> </w:t>
      </w:r>
      <w:r>
        <w:t xml:space="preserve">means is more efficient than equal weighting when cluster sizes vary [30], [31];</w:t>
      </w:r>
      <w:r>
        <w:t xml:space="preserve"> </w:t>
      </w:r>
      <w:r>
        <w:t xml:space="preserve">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axis is a heuristic under (A) for ranking configurations, not a</w:t>
      </w:r>
      <w:r>
        <w:t xml:space="preserve"> </w:t>
      </w:r>
      <w:r>
        <w:t xml:space="preserve">calibrated effective sample size. Noonan derives a large-sample variance for the</w:t>
      </w:r>
      <w:r>
        <w:t xml:space="preserve"> </w:t>
      </w:r>
      <w:r>
        <w:t xml:space="preserve">coverage of a threshold estimated from clustered data, in which the relevant</w:t>
      </w:r>
      <w:r>
        <w:t xml:space="preserve"> </w:t>
      </w:r>
      <w:r>
        <w:t xml:space="preserve">correlation is that of the exceedance indicator rather than of the score and can</w:t>
      </w:r>
      <w:r>
        <w:t xml:space="preserve"> </w:t>
      </w:r>
      <w:r>
        <w:t xml:space="preserve">change with the target level [21]. The primary analysis estimates</w:t>
      </w:r>
      <w:r>
        <w:t xml:space="preserve"> </w:t>
      </w:r>
      <m:oMath>
        <m:r>
          <m:t>ρ</m:t>
        </m:r>
      </m:oMath>
      <w:r>
        <w:t xml:space="preserve"> </w:t>
      </w:r>
      <w:r>
        <w:t xml:space="preserve">from</w:t>
      </w:r>
      <w:r>
        <w:t xml:space="preserve"> </w:t>
      </w:r>
      <w:r>
        <w:t xml:space="preserve">conformity scores, and every analysis on this axis is therefore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w:t>
      </w:r>
    </w:p>
    <w:bookmarkEnd w:id="19"/>
    <w:bookmarkStart w:id="23"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rPr>
          <w:i/>
          <w:iCs/>
        </w:rPr>
        <w:t xml:space="preserve">Proof.</w:t>
      </w:r>
      <w:r>
        <w:t xml:space="preserve"> </w:t>
      </w:r>
      <w:r>
        <w:t xml:space="preserve">If</w:t>
      </w:r>
      <w:r>
        <w:t xml:space="preserve"> </w:t>
      </w:r>
      <m:oMath>
        <m:r>
          <m:rPr>
            <m:scr m:val="script"/>
            <m:sty m:val="p"/>
          </m:rPr>
          <m:t>Q</m:t>
        </m:r>
      </m:oMath>
      <w:r>
        <w:t xml:space="preserve"> </w:t>
      </w:r>
      <w:r>
        <w:t xml:space="preserve">is sufficient for both sources, every</w:t>
      </w:r>
      <w:r>
        <w:t xml:space="preserve"> </w:t>
      </w:r>
      <m:oMath>
        <m:sSub>
          <m:e>
            <m:r>
              <m:rPr>
                <m:scr m:val="script"/>
                <m:sty m:val="p"/>
              </m:rPr>
              <m:t>P</m:t>
            </m:r>
          </m:e>
          <m:sub>
            <m:r>
              <m:t>1</m:t>
            </m:r>
          </m:sub>
        </m:sSub>
      </m:oMath>
      <w:r>
        <w:t xml:space="preserve">-block and every</w:t>
      </w:r>
      <w:r>
        <w:t xml:space="preserve"> </w:t>
      </w:r>
      <m:oMath>
        <m:sSub>
          <m:e>
            <m:r>
              <m:rPr>
                <m:scr m:val="script"/>
                <m:sty m:val="p"/>
              </m:rPr>
              <m:t>P</m:t>
            </m:r>
          </m:e>
          <m:sub>
            <m:r>
              <m:t>2</m:t>
            </m:r>
          </m:sub>
        </m:sSub>
      </m:oMath>
      <w:r>
        <w:t xml:space="preserve">-block lies within one</w:t>
      </w:r>
      <w:r>
        <w:t xml:space="preserve"> </w:t>
      </w:r>
      <m:oMath>
        <m:r>
          <m:rPr>
            <m:scr m:val="script"/>
            <m:sty m:val="p"/>
          </m:rPr>
          <m:t>Q</m:t>
        </m:r>
      </m:oMath>
      <w:r>
        <w:t xml:space="preserve">-block, so two observations joined by a chain of shared</w:t>
      </w:r>
      <w:r>
        <w:t xml:space="preserve"> </w:t>
      </w:r>
      <m:oMath>
        <m:sSub>
          <m:e>
            <m:r>
              <m:rPr>
                <m:scr m:val="script"/>
                <m:sty m:val="p"/>
              </m:rPr>
              <m:t>P</m:t>
            </m:r>
          </m:e>
          <m:sub>
            <m:r>
              <m:t>1</m:t>
            </m:r>
          </m:sub>
        </m:sSub>
      </m:oMath>
      <w:r>
        <w:t xml:space="preserve">- or</w:t>
      </w:r>
      <w:r>
        <w:t xml:space="preserve"> </w:t>
      </w:r>
      <m:oMath>
        <m:sSub>
          <m:e>
            <m:r>
              <m:rPr>
                <m:scr m:val="script"/>
                <m:sty m:val="p"/>
              </m:rPr>
              <m:t>P</m:t>
            </m:r>
          </m:e>
          <m:sub>
            <m:r>
              <m:t>2</m:t>
            </m:r>
          </m:sub>
        </m:sSub>
      </m:oMath>
      <w:r>
        <w:t xml:space="preserve">-blocks also lie within one</w:t>
      </w:r>
      <w:r>
        <w:t xml:space="preserve"> </w:t>
      </w:r>
      <m:oMath>
        <m:r>
          <m:rPr>
            <m:scr m:val="script"/>
            <m:sty m:val="p"/>
          </m:rPr>
          <m:t>Q</m:t>
        </m:r>
      </m:oMath>
      <w:r>
        <w:t xml:space="preserve">-block.</w:t>
      </w:r>
      <w:r>
        <w:t xml:space="preserve"> </w:t>
      </w:r>
      <w:r>
        <w:t xml:space="preserve">Every</w:t>
      </w:r>
      <w:r>
        <w:t xml:space="preserve"> </w:t>
      </w:r>
      <m:oMath>
        <m:r>
          <m:rPr>
            <m:scr m:val="script"/>
            <m:sty m:val="p"/>
          </m:rPr>
          <m:t>Q</m:t>
        </m:r>
      </m:oMath>
      <w:r>
        <w:t xml:space="preserve">-block is therefore a union of connected components. The</w:t>
      </w:r>
      <w:r>
        <w:t xml:space="preserve"> </w:t>
      </w:r>
      <w:r>
        <w:t xml:space="preserve">components themselves form a partition sufficient for both sources, so they are</w:t>
      </w:r>
      <w:r>
        <w:t xml:space="preserve"> </w:t>
      </w:r>
      <w:r>
        <w:t xml:space="preserve">the finest such</w:t>
      </w:r>
      <w:r>
        <w:t xml:space="preserve"> </w:t>
      </w:r>
      <m:oMath>
        <m:r>
          <m:rPr>
            <m:scr m:val="script"/>
            <m:sty m:val="p"/>
          </m:rPr>
          <m:t>Q</m:t>
        </m:r>
      </m:oMath>
      <w:r>
        <w:t xml:space="preserve">. Since the join is coarser than each</w:t>
      </w:r>
      <w:r>
        <w:t xml:space="preserve"> </w:t>
      </w:r>
      <m:oMath>
        <m:sSub>
          <m:e>
            <m:r>
              <m:rPr>
                <m:scr m:val="script"/>
                <m:sty m:val="p"/>
              </m:rPr>
              <m:t>P</m:t>
            </m:r>
          </m:e>
          <m:sub>
            <m:r>
              <m:t>j</m:t>
            </m:r>
          </m:sub>
        </m:sSub>
      </m:oMath>
      <w:r>
        <w:t xml:space="preserve">, it has no more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cannot</w:t>
      </w:r>
      <w:r>
        <w:t xml:space="preserve"> </w:t>
      </w:r>
      <w:r>
        <w:t xml:space="preserve">decrease. ∎</w:t>
      </w:r>
    </w:p>
    <w:p>
      <w:pPr>
        <w:pStyle w:val="BodyText"/>
        <w:jc w:val="both"/>
      </w:pPr>
      <w:r>
        <w:t xml:space="preserve">The join is standard in partition lattices; what matters here is its consequence</w:t>
      </w:r>
      <w:r>
        <w:t xml:space="preserve"> </w:t>
      </w:r>
      <w:r>
        <w:t xml:space="preserve">for calibration.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finite set of declared sources, with their join</w:t>
      </w:r>
      <w:r>
        <w:t xml:space="preserve"> </w:t>
      </w:r>
      <m:oMath>
        <m:sSub>
          <m:e>
            <m:r>
              <m:rPr>
                <m:scr m:val="script"/>
                <m:sty m:val="p"/>
              </m:rPr>
              <m:t>P</m:t>
            </m:r>
          </m:e>
          <m:sub>
            <m:r>
              <m:t>1</m:t>
            </m:r>
          </m:sub>
        </m:sSub>
        <m:r>
          <m:rPr>
            <m:sty m:val="p"/>
          </m:rPr>
          <m:t>∨</m:t>
        </m:r>
        <m:r>
          <m:rPr>
            <m:sty m:val="p"/>
          </m:rPr>
          <m:t>…</m:t>
        </m:r>
        <m:r>
          <m:rPr>
            <m:sty m:val="p"/>
          </m:rPr>
          <m:t>∨</m:t>
        </m:r>
        <m:sSub>
          <m:e>
            <m:r>
              <m:rPr>
                <m:scr m:val="script"/>
                <m:sty m:val="p"/>
              </m:rPr>
              <m:t>P</m:t>
            </m:r>
          </m:e>
          <m:sub>
            <m:r>
              <m:t>m</m:t>
            </m:r>
          </m:sub>
        </m:sSub>
      </m:oMath>
      <w:r>
        <w:t xml:space="preserve"> </w:t>
      </w:r>
      <w:r>
        <w:t xml:space="preserve">in place of</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This is a property of the study design, not of the score function or the fitted model.</w:t>
      </w:r>
    </w:p>
    <w:p>
      <w:pPr>
        <w:pStyle w:val="BodyText"/>
        <w:jc w:val="both"/>
      </w:pPr>
      <w:r>
        <w:rPr>
          <w:i/>
          <w:iCs/>
        </w:rPr>
        <w:t xml:space="preserve">Proof.</w:t>
      </w:r>
      <w:r>
        <w:t xml:space="preserve"> </w:t>
      </w:r>
      <w:r>
        <w:t xml:space="preserve">By Proposition 2, any grouping sufficient for the declared sources is at</w:t>
      </w:r>
      <w:r>
        <w:t xml:space="preserve"> </w:t>
      </w:r>
      <w:r>
        <w:t xml:space="preserve">least as coarse as their join and so has at most</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oMath>
      <w:r>
        <w:t xml:space="preserve"> </w:t>
      </w:r>
      <w:r>
        <w:t xml:space="preserve">calibration blocks; Proposition 1 then gives</w:t>
      </w:r>
      <w:r>
        <w:t xml:space="preserve"> </w:t>
      </w:r>
      <m:oMath>
        <m:acc>
          <m:accPr>
            <m:chr m:val="̂"/>
          </m:accPr>
          <m:e>
            <m:r>
              <m:t>T</m:t>
            </m:r>
          </m:e>
        </m:acc>
        <m:r>
          <m:rPr>
            <m:sty m:val="p"/>
          </m:rPr>
          <m:t>=</m:t>
        </m:r>
        <m:r>
          <m:rPr>
            <m:sty m:val="p"/>
          </m:rPr>
          <m:t>+</m:t>
        </m:r>
        <m:r>
          <m:rPr>
            <m:sty m:val="p"/>
          </m:rPr>
          <m:t>∞</m:t>
        </m:r>
      </m:oMath>
      <w:r>
        <w:t xml:space="preserve">. The join of</w:t>
      </w:r>
      <w:r>
        <w:t xml:space="preserve"> </w:t>
      </w:r>
      <m:oMath>
        <m:r>
          <m:t>m</m:t>
        </m:r>
      </m:oMath>
      <w:r>
        <w:t xml:space="preserve"> </w:t>
      </w:r>
      <w:r>
        <w:t xml:space="preserve">sources follows by applying Proposition 2</w:t>
      </w:r>
      <w:r>
        <w:t xml:space="preserve"> </w:t>
      </w:r>
      <w:r>
        <w:t xml:space="preserve">repeatedly. ∎</w:t>
      </w:r>
    </w:p>
    <w:p>
      <w:pPr>
        <w:pStyle w:val="BodyText"/>
        <w:jc w:val="both"/>
      </w:pPr>
      <w:r>
        <w:rPr>
          <w:b/>
          <w:bCs/>
        </w:rPr>
        <w:t xml:space="preserve">Scope of Corollary 2.</w:t>
      </w:r>
      <w:r>
        <w:t xml:space="preserve"> </w:t>
      </w:r>
      <w:r>
        <w:t xml:space="preserve">We prove Corollary 2 for HCP as defined in (1). Dunn et</w:t>
      </w:r>
      <w:r>
        <w:t xml:space="preserve"> </w:t>
      </w:r>
      <w:r>
        <w:t xml:space="preserve">al. state group-count conditions for their finite-sample constructions: double</w:t>
      </w:r>
      <w:r>
        <w:t xml:space="preserve"> </w:t>
      </w:r>
      <w:r>
        <w:t xml:space="preserve">conformal can produce non-trivial sets if</w:t>
      </w:r>
      <w:r>
        <w:t xml:space="preserve"> </w:t>
      </w:r>
      <m:oMath>
        <m:r>
          <m:t>k</m:t>
        </m:r>
        <m:r>
          <m:rPr>
            <m:sty m:val="p"/>
          </m:rPr>
          <m:t>≥</m:t>
        </m:r>
        <m:r>
          <m:t>4</m:t>
        </m:r>
        <m:r>
          <m:rPr>
            <m:sty m:val="p"/>
          </m:rPr>
          <m:t>/</m:t>
        </m:r>
        <m:r>
          <m:t>α</m:t>
        </m:r>
        <m:r>
          <m:rPr>
            <m:sty m:val="p"/>
          </m:rPr>
          <m:t>−</m:t>
        </m:r>
        <m:r>
          <m:t>1</m:t>
        </m:r>
      </m:oMath>
      <w:r>
        <w:t xml:space="preserve"> </w:t>
      </w:r>
      <w:r>
        <w:t xml:space="preserve">[13, Th. 3], the</w:t>
      </w:r>
      <w:r>
        <w:t xml:space="preserve"> </w:t>
      </w:r>
      <w:r>
        <w:t xml:space="preserve">unsupervised subsampling constructions if</w:t>
      </w:r>
      <w:r>
        <w:t xml:space="preserve"> </w:t>
      </w:r>
      <m:oMath>
        <m:r>
          <m:t>k</m:t>
        </m:r>
        <m:r>
          <m:rPr>
            <m:sty m:val="p"/>
          </m:rPr>
          <m:t>≥</m:t>
        </m:r>
        <m:r>
          <m:t>2</m:t>
        </m:r>
        <m:r>
          <m:rPr>
            <m:sty m:val="p"/>
          </m:rPr>
          <m:t>/</m:t>
        </m:r>
        <m:r>
          <m:t>α</m:t>
        </m:r>
        <m:r>
          <m:rPr>
            <m:sty m:val="p"/>
          </m:rPr>
          <m:t>−</m:t>
        </m:r>
        <m:r>
          <m:t>1</m:t>
        </m:r>
      </m:oMath>
      <w:r>
        <w:t xml:space="preserve"> </w:t>
      </w:r>
      <w:r>
        <w:t xml:space="preserve">or</w:t>
      </w:r>
      <w:r>
        <w:t xml:space="preserve"> </w:t>
      </w:r>
      <m:oMath>
        <m:r>
          <m:t>k</m:t>
        </m:r>
        <m:r>
          <m:rPr>
            <m:sty m:val="p"/>
          </m:rPr>
          <m:t>&gt;</m:t>
        </m:r>
        <m:r>
          <m:t>2</m:t>
        </m:r>
        <m:r>
          <m:rPr>
            <m:sty m:val="p"/>
          </m:rPr>
          <m:t>/</m:t>
        </m:r>
        <m:r>
          <m:t>α</m:t>
        </m:r>
        <m:r>
          <m:rPr>
            <m:sty m:val="p"/>
          </m:rPr>
          <m:t>−</m:t>
        </m:r>
        <m:r>
          <m:t>1</m:t>
        </m:r>
      </m:oMath>
      <w:r>
        <w:t xml:space="preserve"> </w:t>
      </w:r>
      <w:r>
        <w:t xml:space="preserve">[13, Thms. 5–6], and the supervised subsampling constructions require</w:t>
      </w:r>
      <w:r>
        <w:t xml:space="preserve"> </w:t>
      </w:r>
      <m:oMath>
        <m:r>
          <m:t>k</m:t>
        </m:r>
        <m:r>
          <m:rPr>
            <m:sty m:val="p"/>
          </m:rPr>
          <m:t>&gt;</m:t>
        </m:r>
        <m:r>
          <m:t>1</m:t>
        </m:r>
        <m:r>
          <m:rPr>
            <m:sty m:val="p"/>
          </m:rPr>
          <m:t>/</m:t>
        </m:r>
        <m:r>
          <m:t>α</m:t>
        </m:r>
        <m:r>
          <m:rPr>
            <m:sty m:val="p"/>
          </m:rPr>
          <m:t>−</m:t>
        </m:r>
        <m:r>
          <m:t>1</m:t>
        </m:r>
      </m:oMath>
      <w:r>
        <w:t xml:space="preserve"> </w:t>
      </w:r>
      <w:r>
        <w:t xml:space="preserve">[13, Thms. 9–10], with</w:t>
      </w:r>
      <w:r>
        <w:t xml:space="preserve"> </w:t>
      </w:r>
      <m:oMath>
        <m:r>
          <m:t>k</m:t>
        </m:r>
      </m:oMath>
      <w:r>
        <w:t xml:space="preserve"> </w:t>
      </w:r>
      <w:r>
        <w:t xml:space="preserve">the number of groups. Because these</w:t>
      </w:r>
      <w:r>
        <w:t xml:space="preserve"> </w:t>
      </w:r>
      <w:r>
        <w:t xml:space="preserve">conditions are stated in the number of groups, Proposition 2 implies that they</w:t>
      </w:r>
      <w:r>
        <w:t xml:space="preserve"> </w:t>
      </w:r>
      <w:r>
        <w:t xml:space="preserve">must be checked on the join of the declared sources. CDF pooling, whose coverage</w:t>
      </w:r>
      <w:r>
        <w:t xml:space="preserve"> </w:t>
      </w:r>
      <w:r>
        <w:t xml:space="preserve">is asymptotic, has no such finite-sample condition [13]. Whether every</w:t>
      </w:r>
      <w:r>
        <w:t xml:space="preserve"> </w:t>
      </w:r>
      <w:r>
        <w:t xml:space="preserve">distribution-free method whose validity rests on between-block exchangeability</w:t>
      </w:r>
      <w:r>
        <w:t xml:space="preserve"> </w:t>
      </w:r>
      <w:r>
        <w:t xml:space="preserve">faces a comparable bound is not addressed here.</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[32],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Label-conditional calibration computes, for each</w:t>
      </w:r>
      <w:r>
        <w:t xml:space="preserve"> </w:t>
      </w:r>
      <w:r>
        <w:t xml:space="preserve">label</w:t>
      </w:r>
      <w:r>
        <w:t xml:space="preserve"> </w:t>
      </w:r>
      <m:oMath>
        <m:r>
          <m:t>ℓ</m:t>
        </m:r>
      </m:oMath>
      <w:r>
        <w:t xml:space="preserve">, an HCP threshold from the calibration observations carrying</w:t>
      </w:r>
      <w:r>
        <w:t xml:space="preserve"> </w:t>
      </w:r>
      <m:oMath>
        <m:r>
          <m:t>ℓ</m:t>
        </m:r>
      </m:oMath>
      <w:r>
        <w:t xml:space="preserve"> </w:t>
      </w:r>
      <w:r>
        <w:t xml:space="preserve">only; we call it the per-label threshold. Rare classes are known to starve</w:t>
      </w:r>
      <w:r>
        <w:t xml:space="preserve"> </w:t>
      </w:r>
      <w:r>
        <w:t xml:space="preserve">class-conditional calibration under exchangeability [33]; under hierarchical</w:t>
      </w:r>
      <w:r>
        <w:t xml:space="preserve"> </w:t>
      </w:r>
      <w:r>
        <w:t xml:space="preserve">dependence the count 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because the test block is a</w:t>
      </w:r>
      <w:r>
        <w:t xml:space="preserve"> </w:t>
      </w:r>
      <w:r>
        <w:t xml:space="preserve">size-biased draw.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4"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9"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PTB-XL:</w:t>
      </w:r>
      <w:r>
        <w:t xml:space="preserve"> </w:t>
      </w:r>
      <m:oMath>
        <m:sSub>
          <m:e>
            <m:r>
              <m:t>K</m:t>
            </m:r>
          </m:e>
          <m:sub>
            <m:r>
              <m:t>1</m:t>
            </m:r>
          </m:sub>
        </m:sSub>
      </m:oMath>
      <w:r>
        <w:t xml:space="preserve"> </w:t>
      </w:r>
      <w:r>
        <w:t xml:space="preserve">is half of the 1,917 fold-9 patients with a diagnostic superclass,</w:t>
      </w:r>
      <w:r>
        <w:t xml:space="preserve"> </w:t>
      </w:r>
      <w:r>
        <w:t xml:space="preserve">as split in the coverage experiments;</w:t>
      </w:r>
      <w:r>
        <w:t xml:space="preserve"> </w:t>
      </w:r>
      <m:oMath>
        <m:r>
          <m:t>H</m:t>
        </m:r>
      </m:oMath>
      <w:r>
        <w:t xml:space="preserve"> </w:t>
      </w:r>
      <w:r>
        <w:t xml:space="preserve">and</w:t>
      </w:r>
      <w:r>
        <w:t xml:space="preserve"> </w:t>
      </w:r>
      <m:oMath>
        <m:r>
          <m:t>ρ</m:t>
        </m:r>
      </m:oMath>
      <w:r>
        <w:t xml:space="preserve"> </w:t>
      </w:r>
      <w:r>
        <w:t xml:space="preserve">are computed over all 1,917.</w:t>
      </w:r>
      <w:r>
        <w:t xml:space="preserve"> </w:t>
      </w:r>
      <w:r>
        <w:t xml:space="preserve">† MIT-BIH: calibration records subsampled to a common 1,355 beats (§4.4), so the</w:t>
      </w:r>
      <w:r>
        <w:t xml:space="preserve"> </w:t>
      </w:r>
      <w:r>
        <w:t xml:space="preserve">design effect is that of the dose–response experiment at</w:t>
      </w:r>
      <w:r>
        <w:t xml:space="preserve"> </w:t>
      </w:r>
      <m:oMath>
        <m:r>
          <m:t>p</m:t>
        </m:r>
        <m:r>
          <m:rPr>
            <m:sty m:val="p"/>
          </m:rPr>
          <m:t>=</m:t>
        </m:r>
        <m:r>
          <m:t>0</m:t>
        </m:r>
      </m:oMath>
      <w:r>
        <w:t xml:space="preserve">; the native</w:t>
      </w:r>
      <w:r>
        <w:t xml:space="preserve"> </w:t>
      </w:r>
      <w:r>
        <w:t xml:space="preserve">harmonic mean is 2,196 over all 44 records (Fig. 3), and the coverage deficits of</w:t>
      </w:r>
      <w:r>
        <w:t xml:space="preserve"> </w:t>
      </w:r>
      <w:r>
        <w:t xml:space="preserve">§5.2–§5.3 use full-length records.</w:t>
      </w:r>
    </w:p>
    <w:p>
      <w:pPr>
        <w:pStyle w:val="BodyText"/>
        <w:jc w:val="both"/>
      </w:pPr>
      <w:r>
        <w:t xml:space="preserve">Block count and block size come as a package within any one dataset, so no</w:t>
      </w:r>
      <w:r>
        <w:t xml:space="preserve"> </w:t>
      </w:r>
      <w:r>
        <w:t xml:space="preserve">single dataset can separate their effects. Only the native block sizes are</w:t>
      </w:r>
      <w:r>
        <w:t xml:space="preserve"> </w:t>
      </w:r>
      <w:r>
        <w:t xml:space="preserve">structural:</w:t>
      </w:r>
      <w:r>
        <w:t xml:space="preserve"> </w:t>
      </w:r>
      <m:oMath>
        <m:sSub>
          <m:e>
            <m:r>
              <m:t>K</m:t>
            </m:r>
          </m:e>
          <m:sub>
            <m:r>
              <m:t>1</m:t>
            </m:r>
          </m:sub>
        </m:sSub>
      </m:oMath>
      <w:r>
        <w:t xml:space="preserve"> </w:t>
      </w:r>
      <w:r>
        <w:t xml:space="preserve">follows from the split design, and the design effect depends on</w:t>
      </w:r>
      <w:r>
        <w:t xml:space="preserve"> </w:t>
      </w:r>
      <w:r>
        <w:t xml:space="preserve">the model through the score ICC</w:t>
      </w:r>
      <w:r>
        <w:t xml:space="preserve"> </w:t>
      </w:r>
      <m:oMath>
        <m:r>
          <m:t>ρ</m:t>
        </m:r>
      </m:oMath>
      <w:r>
        <w:t xml:space="preserve">. Challenge 2021 supports no claim of</w:t>
      </w:r>
      <w:r>
        <w:t xml:space="preserve"> </w:t>
      </w:r>
      <w:r>
        <w:t xml:space="preserve">generality; it is there because a 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7" name="Picture"/>
            <a:graphic>
              <a:graphicData uri="http://schemas.openxmlformats.org/drawingml/2006/picture">
                <pic:pic>
                  <pic:nvPicPr>
                    <pic:cNvPr descr="figures/fig3_block_geometry.png" id="28" name="Picture"/>
                    <pic:cNvPicPr>
                      <a:picLocks noChangeArrowheads="1" noChangeAspect="1"/>
                    </pic:cNvPicPr>
                  </pic:nvPicPr>
                  <pic:blipFill>
                    <a:blip r:embed="rId26"/>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all analyses use fold 9; fold 10 is held in reserve</w:t>
      </w:r>
      <w:r>
        <w:t xml:space="preserve"> </w:t>
      </w:r>
      <w:r>
        <w:t xml:space="preserve">and has not been 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from 47 subjects, annotated beat by beat by cardiologists; the four paced</w:t>
      </w:r>
      <w:r>
        <w:t xml:space="preserve"> </w:t>
      </w:r>
      <w:r>
        <w:t xml:space="preserve">records (102, 104, 107, 217) are removed, leaving 44 records from 43 subjects.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so DS2 holds 22 distinct</w:t>
      </w:r>
      <w:r>
        <w:t xml:space="preserve"> </w:t>
      </w:r>
      <w:r>
        <w:t xml:space="preserve">subjects, one of whom also contributes record 201 to training; we keep the</w:t>
      </w:r>
      <w:r>
        <w:t xml:space="preserve"> </w:t>
      </w:r>
      <w:r>
        <w:t xml:space="preserve">standard split for comparability and disclose the leak. Below, a MIT-BIH block is</w:t>
      </w:r>
      <w:r>
        <w:t xml:space="preserve"> </w:t>
      </w:r>
      <w:r>
        <w:t xml:space="preserve">a record, and with this one exception a record is a subject.</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header field</w:t>
      </w:r>
      <w:r>
        <w:t xml:space="preserve"> </w:t>
      </w:r>
      <w:r>
        <w:t xml:space="preserve">in the sample we inspected is documented as a patient identifier, whereas</w:t>
      </w:r>
      <w:r>
        <w:t xml:space="preserve"> </w:t>
      </w:r>
      <w:r>
        <w:t xml:space="preserve">repetition is documented, so independent units are fewer than records and the</w:t>
      </w:r>
      <w:r>
        <w:t xml:space="preserve"> </w:t>
      </w:r>
      <w:r>
        <w:t xml:space="preserve">unobservable patient partition is no evidence of independence (Appendix C). The</w:t>
      </w:r>
      <w:r>
        <w:t xml:space="preserve"> </w:t>
      </w:r>
      <w:r>
        <w:t xml:space="preserve">only documented 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 Proposition 1; source folders are not patient blocks,</w:t>
      </w:r>
      <w:r>
        <w:t xml:space="preserve"> </w:t>
      </w:r>
      <w:r>
        <w:t xml:space="preserve">and for the patient partition</w:t>
      </w:r>
      <w:r>
        <w:t xml:space="preserve"> </w:t>
      </w:r>
      <m:oMath>
        <m:sSub>
          <m:e>
            <m:r>
              <m:t>K</m:t>
            </m:r>
          </m:e>
          <m:sub>
            <m:r>
              <m:t>1</m:t>
            </m:r>
          </m:sub>
        </m:sSub>
      </m:oMath>
      <w:r>
        <w:t xml:space="preserve"> </w:t>
      </w:r>
      <w:r>
        <w:t xml:space="preserve">becomes an assumption that authors must</w:t>
      </w:r>
      <w:r>
        <w:t xml:space="preserve"> </w:t>
      </w:r>
      <w:r>
        <w:t xml:space="preserve">state.</w:t>
      </w:r>
    </w:p>
    <w:bookmarkEnd w:id="29"/>
    <w:bookmarkStart w:id="30"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the 1,917 fold-9</w:t>
      </w:r>
      <w:r>
        <w:t xml:space="preserve"> </w:t>
      </w:r>
      <w:r>
        <w:t xml:space="preserve">patients with a diagnostic superclass evenly into calibration and evaluation</w:t>
      </w:r>
      <w:r>
        <w:t xml:space="preserve"> </w:t>
      </w:r>
      <w:r>
        <w:t xml:space="preserve">halves (200–400 repetitions); fold 8 is left out for its different label quality,</w:t>
      </w:r>
      <w:r>
        <w:t xml:space="preserve"> </w:t>
      </w:r>
      <w:r>
        <w:t xml:space="preserve">and fold 10 is reserved and unexamined. The feasibility counts of §5.1 instead</w:t>
      </w:r>
      <w:r>
        <w:t xml:space="preserve"> </w:t>
      </w:r>
      <w:r>
        <w:t xml:space="preserve">treat all of fold 9 (2,183 records, 1,942 patients) as the calibration pool,</w:t>
      </w:r>
      <w:r>
        <w:t xml:space="preserve"> </w:t>
      </w:r>
      <w:r>
        <w:t xml:space="preserve">the largest pool the design allows; they answer whether any calibration could be</w:t>
      </w:r>
      <w:r>
        <w:t xml:space="preserve"> </w:t>
      </w:r>
      <w:r>
        <w:t xml:space="preserve">feasible, the coverage experiments what a realistic split delivers. MIT-BIH</w:t>
      </w:r>
      <w:r>
        <w:t xml:space="preserve"> </w:t>
      </w:r>
      <w:r>
        <w:t xml:space="preserve">trains on DS1 minus four validation records (124, 205, 215, 230), validates on</w:t>
      </w:r>
      <w:r>
        <w:t xml:space="preserve"> </w:t>
      </w:r>
      <w:r>
        <w:t xml:space="preserve">those four, and splits DS2 11/11 at the record 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DS2 records</w:t>
      </w:r>
      <w:r>
        <w:t xml:space="preserve"> </w:t>
      </w:r>
      <w:r>
        <w:t xml:space="preserve">differ in length by up to a factor of 2.1, so both are reported there (§5.3). On</w:t>
      </w:r>
      <w:r>
        <w:t xml:space="preserve"> </w:t>
      </w:r>
      <w:r>
        <w:t xml:space="preserve">PTB-XL we report superset coverage (5), using the maximum score over the true</w:t>
      </w:r>
      <w:r>
        <w:t xml:space="preserve"> </w:t>
      </w:r>
      <w:r>
        <w:t xml:space="preserve">labels.</w:t>
      </w:r>
    </w:p>
    <w:bookmarkEnd w:id="30"/>
    <w:bookmarkStart w:id="31" w:name="models-and-conformity-scores"/>
    <w:p>
      <w:pPr>
        <w:pStyle w:val="Heading2"/>
      </w:pPr>
      <w:r>
        <w:t xml:space="preserve">4.3 Models and conformity scores</w:t>
      </w:r>
    </w:p>
    <w:p>
      <w:pPr>
        <w:pStyle w:val="FirstParagraph"/>
        <w:jc w:val="both"/>
      </w:pPr>
      <w:r>
        <w:t xml:space="preserve">Conformal guarantees do not depend on the model, so the backbone changes set</w:t>
      </w:r>
      <w:r>
        <w:t xml:space="preserve"> </w:t>
      </w:r>
      <w:r>
        <w:t xml:space="preserve">size, not validity. The primary backbone, SmallECGNet, is a compact 1-D</w:t>
      </w:r>
      <w:r>
        <w:t xml:space="preserve"> </w:t>
      </w:r>
      <w:r>
        <w:t xml:space="preserve">convolutional network (104,389 parameters for 12-lead input, 101,925 for one</w:t>
      </w:r>
      <w:r>
        <w:t xml:space="preserve"> </w:t>
      </w:r>
      <w:r>
        <w:t xml:space="preserve">lead), trained in an exploratory stage of this project and reused without</w:t>
      </w:r>
      <w:r>
        <w:t xml:space="preserve"> </w:t>
      </w:r>
      <w:r>
        <w:t xml:space="preserve">retraining. Each audit is repeated</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trained with Adam (learning rate</w:t>
      </w:r>
      <w:r>
        <w:t xml:space="preserve"> </w:t>
      </w:r>
      <m:oMath>
        <m:sSup>
          <m:e>
            <m:r>
              <m:t>10</m:t>
            </m:r>
          </m:e>
          <m:sup>
            <m:r>
              <m:rPr>
                <m:sty m:val="p"/>
              </m:rPr>
              <m:t>−</m:t>
            </m:r>
            <m:r>
              <m:t>3</m:t>
            </m:r>
          </m:sup>
        </m:sSup>
      </m:oMath>
      <w:r>
        <w:t xml:space="preserve">), early stopping on validation loss</w:t>
      </w:r>
      <w:r>
        <w:t xml:space="preserve"> </w:t>
      </w:r>
      <w:r>
        <w:t xml:space="preserve">(patience 5) and at most 25 epochs on PTB-XL and 30 on MIT-BIH; SmallECGNet was</w:t>
      </w:r>
      <w:r>
        <w:t xml:space="preserve"> </w:t>
      </w:r>
      <w:r>
        <w:t xml:space="preserve">trained with the same optimizer, stopping rule and batch sizes.</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validity</w:t>
      </w:r>
      <w:r>
        <w:t xml:space="preserve"> </w:t>
      </w:r>
      <w:r>
        <w:t xml:space="preserve">holds for any score fixed before calibration, so a weak minority-class score</w:t>
      </w:r>
      <w:r>
        <w:t xml:space="preserve"> </w:t>
      </w:r>
      <w:r>
        <w:t xml:space="preserve">enlarges sets without affecting the coverage under 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1"/>
    <w:bookmarkStart w:id="32"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This analysis was added after</w:t>
      </w:r>
      <w:r>
        <w:t xml:space="preserve"> </w:t>
      </w:r>
      <w:r>
        <w:t xml:space="preserve">the initial plan, once the distinction was noticed, but its specification was</w:t>
      </w:r>
      <w:r>
        <w:t xml:space="preserve"> </w:t>
      </w:r>
      <w:r>
        <w:t xml:space="preserve">committed before it was run. All analyses follow an internal, version-controlled</w:t>
      </w:r>
      <w:r>
        <w:t xml:space="preserve"> </w:t>
      </w:r>
      <w:r>
        <w:t xml:space="preserve">protocol, not publicly registered, whose deviation log records every departure</w:t>
      </w:r>
      <w:r>
        <w:t xml:space="preserve"> </w:t>
      </w:r>
      <w:r>
        <w:t xml:space="preserve">from the initial plan (§6.4).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 one-sided bootstrap</w:t>
            </w:r>
            <w:r>
              <w:rPr>
                <w:sz w:val="17"/>
              </w:rPr>
              <w:t xml:space="preserve"> </w:t>
            </w:r>
            <m:oMath>
              <m:r>
                <m:t>p</m:t>
              </m:r>
            </m:oMath>
            <w:r>
              <w:rPr>
                <w:sz w:val="17"/>
              </w:rPr>
              <w:t xml:space="preserve">, Holm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2"/>
    <w:bookmarkStart w:id="33"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3"/>
    <w:bookmarkEnd w:id="34"/>
    <w:bookmarkStart w:id="61"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1"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Treating all of PTB-XL fold 9 (2,183 records, 1,942 patients) as</w:t>
      </w:r>
      <w:r>
        <w:t xml:space="preserve"> </w:t>
      </w:r>
      <w:r>
        <w:t xml:space="preserve">the calibration pool (§4.2), patient blocking is feasible at every conventional</w:t>
      </w:r>
      <w:r>
        <w:t xml:space="preserve"> </w:t>
      </w:r>
      <m:oMath>
        <m:r>
          <m:t>α</m:t>
        </m:r>
      </m:oMath>
      <w:r>
        <w:t xml:space="preserve">, and each coarser source narrows the admissible range. Any calibration</w:t>
      </w:r>
      <w:r>
        <w:t xml:space="preserve"> </w:t>
      </w:r>
      <w:r>
        <w:t xml:space="preserve">half drawn from fold 9 is a subset of this pool, so a grouping or label that</w:t>
      </w:r>
      <w:r>
        <w:t xml:space="preserve"> </w:t>
      </w:r>
      <w:r>
        <w:t xml:space="preserve">fails here fails in every split.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by grouping, with all of PTB-XL fold 9 as the calibration pool.</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[32].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circles: single source; squares: joins; all of fold 9 as the calibration pool) and for the 11 calibration records of the MIT-BIH 11/11 split (diamond), with K_1 in parentheses. A level \alpha is attainable only below its dotted line." title="" id="36" name="Picture"/>
            <a:graphic>
              <a:graphicData uri="http://schemas.openxmlformats.org/drawingml/2006/picture">
                <pic:pic>
                  <pic:nvPicPr>
                    <pic:cNvPr descr="figures/fig4_feasibility_frontier.png" id="37" name="Picture"/>
                    <pic:cNvPicPr>
                      <a:picLocks noChangeArrowheads="1" noChangeAspect="1"/>
                    </pic:cNvPicPr>
                  </pic:nvPicPr>
                  <pic:blipFill>
                    <a:blip r:embed="rId35"/>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(circles: single source; squares: joins; all of fold 9 as the calibration pool) and for the 11 calibration records of the MIT-BIH 11/11 split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With all of fold 9 as the calibration pool, all</w:t>
      </w:r>
      <w:r>
        <w:t xml:space="preserve"> </w:t>
      </w:r>
      <w:r>
        <w:t xml:space="preserve">superclasses pass, but 24 of the 44 diagnostic SCP statements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 Bonferroni</w:t>
      </w:r>
      <w:r>
        <w:t xml:space="preserve"> </w:t>
      </w:r>
      <w:r>
        <w:t xml:space="preserve">correction across statements makes 43 of 44 infeasible at a family-wise</w:t>
      </w:r>
      <w:r>
        <w:t xml:space="preserve"> </w:t>
      </w:r>
      <m:oMath>
        <m:r>
          <m:t>α</m:t>
        </m:r>
        <m:r>
          <m:rPr>
            <m:sty m:val="p"/>
          </m:rPr>
          <m:t>=</m:t>
        </m:r>
        <m:r>
          <m:t>0.05</m:t>
        </m:r>
      </m:oMath>
      <w:r>
        <w:t xml:space="preserve">. These verdicts are a necessary-condition screen, not observed</w:t>
      </w:r>
      <w:r>
        <w:t xml:space="preserve"> </w:t>
      </w:r>
      <w:r>
        <w:t xml:space="preserve">coverage failures, and passing the screen does not certify a label; since the</w:t>
      </w:r>
      <w:r>
        <w:t xml:space="preserve"> </w:t>
      </w:r>
      <w:r>
        <w:t xml:space="preserve">coverage experiments calibrate on about half the patients, the screen does not</w:t>
      </w:r>
      <w:r>
        <w:t xml:space="preserve"> </w:t>
      </w:r>
      <w:r>
        <w:t xml:space="preserve">overstate the calibration blocks available to them. Table 4 counts the failing</w:t>
      </w:r>
      <w:r>
        <w:t xml:space="preserve"> </w:t>
      </w:r>
      <w:r>
        <w:t xml:space="preserve">labels per level.</w:t>
      </w:r>
    </w:p>
    <w:p>
      <w:pPr>
        <w:pStyle w:val="BodyText"/>
        <w:keepNext/>
        <w:spacing w:before="160"/>
        <w:jc w:val="left"/>
      </w:pPr>
      <w:r/>
      <w:r>
        <w:rPr>
          <w:b/>
          <w:sz w:val="18"/>
        </w:rPr>
        <w:t xml:space="preserve">Table 4. </w:t>
      </w:r>
      <w:r>
        <w:rPr>
          <w:sz w:val="18"/>
        </w:rPr>
        <w:t>PTB-XL labels failing Proposition 3 (all of fold 9 as the calibration pool,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statement</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303520" cy="1595119"/>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9" name="Picture"/>
            <a:graphic>
              <a:graphicData uri="http://schemas.openxmlformats.org/drawingml/2006/picture">
                <pic:pic>
                  <pic:nvPicPr>
                    <pic:cNvPr descr="figures/fig5_label_feasibility.png" id="40" name="Picture"/>
                    <pic:cNvPicPr>
                      <a:picLocks noChangeArrowheads="1" noChangeAspect="1"/>
                    </pic:cNvPicPr>
                  </pic:nvPicPr>
                  <pic:blipFill>
                    <a:blip r:embed="rId38"/>
                    <a:stretch>
                      <a:fillRect/>
                    </a:stretch>
                  </pic:blipFill>
                  <pic:spPr bwMode="auto">
                    <a:xfrm>
                      <a:off x="0" y="0"/>
                      <a:ext cx="5303520" cy="1595119"/>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1"/>
    <w:bookmarkStart w:id="45"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303520" cy="1669438"/>
            <wp:effectExtent b="0" l="0" r="0" t="0"/>
            <wp:docPr descr="Fig. 6. Coverage minus nominal 1-\alpha, primary backbone: B1 (mean and 2.5–97.5% range over 200 block-level splits) and B12 (mean). Shading marks MIT-BIH levels below \alpha_{\min}=1/12; vertical scales differ." title="" id="43" name="Picture"/>
            <a:graphic>
              <a:graphicData uri="http://schemas.openxmlformats.org/drawingml/2006/picture">
                <pic:pic>
                  <pic:nvPicPr>
                    <pic:cNvPr descr="figures/fig6_coverage.png" id="44" name="Picture"/>
                    <pic:cNvPicPr>
                      <a:picLocks noChangeArrowheads="1" noChangeAspect="1"/>
                    </pic:cNvPicPr>
                  </pic:nvPicPr>
                  <pic:blipFill>
                    <a:blip r:embed="rId42"/>
                    <a:stretch>
                      <a:fillRect/>
                    </a:stretch>
                  </pic:blipFill>
                  <pic:spPr bwMode="auto">
                    <a:xfrm>
                      <a:off x="0" y="0"/>
                      <a:ext cx="5303520" cy="1669438"/>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5"/>
    <w:bookmarkStart w:id="52"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303520" cy="1273853"/>
            <wp:effectExtent b="0" l="0" r="0" t="0"/>
            <wp:docPr descr="Fig. 7. Controls used on MIT-BIH, drawn on four illustrative records (colors mark the original record of each beat). (a) Permutation null. (b) 2×2 factorial design crossing clustering with calibration block-size balance. (c) Dose–response: a growing fraction p of beats reassigned at random." title="" id="47" name="Picture"/>
            <a:graphic>
              <a:graphicData uri="http://schemas.openxmlformats.org/drawingml/2006/picture">
                <pic:pic>
                  <pic:nvPicPr>
                    <pic:cNvPr descr="figures/fig7_control_design.png" id="48" name="Picture"/>
                    <pic:cNvPicPr>
                      <a:picLocks noChangeArrowheads="1" noChangeAspect="1"/>
                    </pic:cNvPicPr>
                  </pic:nvPicPr>
                  <pic:blipFill>
                    <a:blip r:embed="rId46"/>
                    <a:stretch>
                      <a:fillRect/>
                    </a:stretch>
                  </pic:blipFill>
                  <pic:spPr bwMode="auto">
                    <a:xfrm>
                      <a:off x="0" y="0"/>
                      <a:ext cx="5303520" cy="1273853"/>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the shortfall of B1 is attributable to</w:t>
      </w:r>
      <w:r>
        <w:t xml:space="preserve"> </w:t>
      </w:r>
      <w:r>
        <w:t xml:space="preserve">dependence, we compared it with a matched null that permutes the assignment of</w:t>
      </w:r>
      <w:r>
        <w:t xml:space="preserve"> </w:t>
      </w:r>
      <w:r>
        <w:t xml:space="preserve">beats to records 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(computed in the</w:t>
      </w:r>
      <w:r>
        <w:t xml:space="preserve"> </w:t>
      </w:r>
      <w:r>
        <w:t xml:space="preserve">all-records runs of the jackknife analysis).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so a share of</w:t>
      </w:r>
      <w:r>
        <w:t xml:space="preserve"> </w:t>
      </w:r>
      <w:r>
        <w:t xml:space="preserve">100% means that removing dependence leaves the gap unchanged. It lies between 81%</w:t>
      </w:r>
      <w:r>
        <w:t xml:space="preserve"> </w:t>
      </w:r>
      <w:r>
        <w:t xml:space="preserve">and 107% for the primary backbone, and at</w:t>
      </w:r>
      <w:r>
        <w:t xml:space="preserve"> </w:t>
      </w:r>
      <m:oMath>
        <m:r>
          <m:t>α</m:t>
        </m:r>
        <m:r>
          <m:rPr>
            <m:sty m:val="p"/>
          </m:rPr>
          <m:t>=</m:t>
        </m:r>
        <m:r>
          <m:t>0.10</m:t>
        </m:r>
      </m:oMath>
      <w:r>
        <w:t xml:space="preserve"> </w:t>
      </w:r>
      <w:r>
        <w:t xml:space="preserve">the gap is slightly wider</w:t>
      </w:r>
      <w:r>
        <w:t xml:space="preserve"> </w:t>
      </w:r>
      <w:r>
        <w:t xml:space="preserve">without dependence, 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The raw B12−B1 difference is</w:t>
      </w:r>
      <w:r>
        <w:t xml:space="preserve"> </w:t>
      </w:r>
      <w:r>
        <w:t xml:space="preserve">therefore no basis for claiming that HCP corrects for dependence; that criterion</w:t>
      </w:r>
      <w:r>
        <w:t xml:space="preserve"> </w:t>
      </w:r>
      <w:r>
        <w:t xml:space="preserve">was withdrawn (§6.4), and the deficit against the permutation null is the</w:t>
      </w:r>
      <w:r>
        <w:t xml:space="preserve"> </w:t>
      </w:r>
      <w:r>
        <w:t xml:space="preserve">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Within this</w:t>
      </w:r>
      <w:r>
        <w:t xml:space="preserve"> </w:t>
      </w:r>
      <w:r>
        <w:t xml:space="preserve">design, imbalance amplifies clustering rather than producing the deficit itself.</w:t>
      </w:r>
      <w:r>
        <w:t xml:space="preserve"> </w:t>
      </w:r>
      <w:r>
        <w:t xml:space="preserve">As in 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303520" cy="1550454"/>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50" name="Picture"/>
            <a:graphic>
              <a:graphicData uri="http://schemas.openxmlformats.org/drawingml/2006/picture">
                <pic:pic>
                  <pic:nvPicPr>
                    <pic:cNvPr descr="figures/fig8_attribution.png" id="51" name="Picture"/>
                    <pic:cNvPicPr>
                      <a:picLocks noChangeArrowheads="1" noChangeAspect="1"/>
                    </pic:cNvPicPr>
                  </pic:nvPicPr>
                  <pic:blipFill>
                    <a:blip r:embed="rId49"/>
                    <a:stretch>
                      <a:fillRect/>
                    </a:stretch>
                  </pic:blipFill>
                  <pic:spPr bwMode="auto">
                    <a:xfrm>
                      <a:off x="0" y="0"/>
                      <a:ext cx="5303520" cy="1550454"/>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2"/>
    <w:bookmarkStart w:id="56"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762"/>
        <w:gridCol w:w="460"/>
        <w:gridCol w:w="1565"/>
        <w:gridCol w:w="1565"/>
        <w:gridCol w:w="156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MIT-BIH</w:t>
      </w:r>
      <w:r>
        <w:t xml:space="preserve"> </w:t>
      </w:r>
      <w:r>
        <w:t xml:space="preserve">at</w:t>
      </w:r>
      <w:r>
        <w:t xml:space="preserve"> </w:t>
      </w:r>
      <m:oMath>
        <m:r>
          <m:t>p</m:t>
        </m:r>
        <m:r>
          <m:rPr>
            <m:sty m:val="p"/>
          </m:rPr>
          <m:t>=</m:t>
        </m:r>
        <m:r>
          <m:t>0</m:t>
        </m:r>
      </m:oMath>
      <w:r>
        <w:t xml:space="preserve"> </w:t>
      </w:r>
      <w:r>
        <w:t xml:space="preserve">with calibration records subsampled to 1,355 beats; on this axis the</w:t>
      </w:r>
      <w:r>
        <w:t xml:space="preserve"> </w:t>
      </w:r>
      <w:r>
        <w:t xml:space="preserve">combined correlation stays positive (0.80–0.85), and using the ICC of the coverage</w:t>
      </w:r>
      <w:r>
        <w:t xml:space="preserve"> </w:t>
      </w:r>
      <w:r>
        <w:t xml:space="preserve">indicator at a fixed threshold, the quantity in the variance of §3.2, does not</w:t>
      </w:r>
      <w:r>
        <w:t xml:space="preserve"> </w:t>
      </w:r>
      <w:r>
        <w:t xml:space="preserve">change the conclusion. DEff is a summary axis, not a sufficient statistic; an</w:t>
      </w:r>
      <w:r>
        <w:t xml:space="preserve"> </w:t>
      </w:r>
      <w:r>
        <w:t xml:space="preserve">exceedance-specific design effect is given in [21].</w:t>
      </w:r>
      <w:r>
        <w:t xml:space="preserve"> </w:t>
      </w:r>
      <w:r>
        <w:t xml:space="preserve">Fig. 9 plots the deficit against DEff: the 11 synthetic MIT-BIH configurations</w:t>
      </w:r>
      <w:r>
        <w:t xml:space="preserve"> </w:t>
      </w:r>
      <w:r>
        <w:t xml:space="preserve">carry the combined correlation, and PTB-XL, the only observed configuration,</w:t>
      </w:r>
      <w:r>
        <w:t xml:space="preserve"> </w:t>
      </w:r>
      <w:r>
        <w:t xml:space="preserve">serves as a prediction check at the low-dependence end rather than an independent</w:t>
      </w:r>
      <w:r>
        <w:t xml:space="preserve"> </w:t>
      </w:r>
      <w:r>
        <w:t xml:space="preserve">trend (§6.4), with deficits of −0.05, −0.12 and −0.16 pp, i.e. coverage slightly</w:t>
      </w:r>
      <w:r>
        <w:t xml:space="preserve"> </w:t>
      </w:r>
      <w:r>
        <w:t xml:space="preserve">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4" name="Picture"/>
            <a:graphic>
              <a:graphicData uri="http://schemas.openxmlformats.org/drawingml/2006/picture">
                <pic:pic>
                  <pic:nvPicPr>
                    <pic:cNvPr descr="figures/fig9_dose_response.png" id="55" name="Picture"/>
                    <pic:cNvPicPr>
                      <a:picLocks noChangeArrowheads="1" noChangeAspect="1"/>
                    </pic:cNvPicPr>
                  </pic:nvPicPr>
                  <pic:blipFill>
                    <a:blip r:embed="rId53"/>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6"/>
    <w:bookmarkStart w:id="60"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303520" cy="1765149"/>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8" name="Picture"/>
            <a:graphic>
              <a:graphicData uri="http://schemas.openxmlformats.org/drawingml/2006/picture">
                <pic:pic>
                  <pic:nvPicPr>
                    <pic:cNvPr descr="figures/fig10_robustness.png" id="59" name="Picture"/>
                    <pic:cNvPicPr>
                      <a:picLocks noChangeArrowheads="1" noChangeAspect="1"/>
                    </pic:cNvPicPr>
                  </pic:nvPicPr>
                  <pic:blipFill>
                    <a:blip r:embed="rId57"/>
                    <a:stretch>
                      <a:fillRect/>
                    </a:stretch>
                  </pic:blipFill>
                  <pic:spPr bwMode="auto">
                    <a:xfrm>
                      <a:off x="0" y="0"/>
                      <a:ext cx="5303520" cy="1765149"/>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60"/>
    <w:bookmarkEnd w:id="61"/>
    <w:bookmarkStart w:id="66" w:name="discussion"/>
    <w:p>
      <w:pPr>
        <w:pStyle w:val="Heading1"/>
      </w:pPr>
      <w:r>
        <w:t xml:space="preserve">6. Discussion</w:t>
      </w:r>
    </w:p>
    <w:bookmarkStart w:id="62"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2"/>
    <w:bookmarkStart w:id="63"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3"/>
    <w:bookmarkStart w:id="64"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[29], lie far from this boundary, which is why it is easy to miss.</w:t>
      </w:r>
      <w:r>
        <w:t xml:space="preserve"> </w:t>
      </w:r>
      <w:r>
        <w:t xml:space="preserve">The inter-patient protocol prevents subject-level leakage [24], [26], [25],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address the</w:t>
      </w:r>
      <w:r>
        <w:t xml:space="preserve"> </w:t>
      </w:r>
      <w:r>
        <w:t xml:space="preserve">most elementary part for HCP: whether a finite threshold exists depends only on</w:t>
      </w:r>
      <w:r>
        <w:t xml:space="preserve"> </w:t>
      </w:r>
      <w:r>
        <w:t xml:space="preserve">the number of blocks (Proposition 1), as the group-count conditions of Dunn et</w:t>
      </w:r>
      <w:r>
        <w:t xml:space="preserve"> </w:t>
      </w:r>
      <w:r>
        <w:t xml:space="preserve">al. do for their constructions [13]. With blocks in place of points, the bound</w:t>
      </w:r>
      <w:r>
        <w:t xml:space="preserve"> </w:t>
      </w:r>
      <w:r>
        <w:t xml:space="preserve">plays the role of the minimum calibration size that the universal coverage</w:t>
      </w:r>
      <w:r>
        <w:t xml:space="preserve"> </w:t>
      </w:r>
      <w:r>
        <w:t xml:space="preserve">distribution of split conformal prediction implies for exchangeable data [34];</w:t>
      </w:r>
      <w:r>
        <w:t xml:space="preserve"> </w:t>
      </w:r>
      <w:r>
        <w:t xml:space="preserve">and, as for rare classes under exchangeability [33], the count that matters per</w:t>
      </w:r>
      <w:r>
        <w:t xml:space="preserve"> </w:t>
      </w:r>
      <w:r>
        <w:t xml:space="preserve">label is that of blocks carrying it, under a necessary but not sufficient</w:t>
      </w:r>
      <w:r>
        <w:t xml:space="preserve"> </w:t>
      </w:r>
      <w:r>
        <w:t xml:space="preserve">condition (§3.4). The findings agree with Sim and Kim [10], who established for</w:t>
      </w:r>
      <w:r>
        <w:t xml:space="preserve"> </w:t>
      </w:r>
      <w:r>
        <w:t xml:space="preserve">ECG monitoring that subjects, not beats, carry the guarantee, that at least 19</w:t>
      </w:r>
      <w:r>
        <w:t xml:space="preserve"> </w:t>
      </w:r>
      <w:r>
        <w:t xml:space="preserve">calibration subjects are needed at</w:t>
      </w:r>
      <w:r>
        <w:t xml:space="preserve"> </w:t>
      </w:r>
      <m:oMath>
        <m:r>
          <m:t>α</m:t>
        </m:r>
        <m:r>
          <m:rPr>
            <m:sty m:val="p"/>
          </m:rPr>
          <m:t>=</m:t>
        </m:r>
        <m:r>
          <m:t>0.05</m:t>
        </m:r>
      </m:oMath>
      <w:r>
        <w:t xml:space="preserve">, and that MIT-BIH splits leave</w:t>
      </w:r>
      <w:r>
        <w:t xml:space="preserve"> </w:t>
      </w:r>
      <w:r>
        <w:t xml:space="preserve">too few. The present audit extends that reasoning to HCP under crossed dependence</w:t>
      </w:r>
      <w:r>
        <w:t xml:space="preserve"> </w:t>
      </w:r>
      <w:r>
        <w:t xml:space="preserve">sources and per diagnostic label, evaluates it from metadata on three resources,</w:t>
      </w:r>
      <w:r>
        <w:t xml:space="preserve"> </w:t>
      </w:r>
      <w:r>
        <w:t xml:space="preserve">and separates dependence from block-size imbalance and from the mechanical effect</w:t>
      </w:r>
      <w:r>
        <w:t xml:space="preserve"> </w:t>
      </w:r>
      <w:r>
        <w:t xml:space="preserve">of the 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[27] and time-series variants [28] rest on</w:t>
      </w:r>
      <w:r>
        <w:t xml:space="preserve"> </w:t>
      </w:r>
      <w:r>
        <w:t xml:space="preserve">related exchangeability or stationarity assumptions; whether their block-level</w:t>
      </w:r>
      <w:r>
        <w:t xml:space="preserve"> </w:t>
      </w:r>
      <w:r>
        <w:t xml:space="preserve">versions meet the same boundary is open.</w:t>
      </w:r>
    </w:p>
    <w:bookmarkEnd w:id="64"/>
    <w:bookmarkStart w:id="65"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all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after the initial plan, treats records as the sampling unit; its</w:t>
      </w:r>
      <w:r>
        <w:t xml:space="preserve"> </w:t>
      </w:r>
      <w:r>
        <w:t xml:space="preserve">intervals include zero in every cell and, because each replicate rests on 500</w:t>
      </w:r>
      <w:r>
        <w:t xml:space="preserve"> </w:t>
      </w:r>
      <w:r>
        <w:t xml:space="preserve">splits, are slightly 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Declaring only {patient, site}</w:t>
      </w:r>
      <w:r>
        <w:t xml:space="preserve"> </w:t>
      </w:r>
      <w:r>
        <w:t xml:space="preserve">merges the 1,942 fold-9 patients into 34 calibration blocks (their join, §3.3),</w:t>
      </w:r>
      <w:r>
        <w:t xml:space="preserve"> </w:t>
      </w:r>
      <w:r>
        <w:t xml:space="preserve">so</w:t>
      </w:r>
      <w:r>
        <w:t xml:space="preserve"> </w:t>
      </w:r>
      <m:oMath>
        <m:r>
          <m:t>α</m:t>
        </m:r>
        <m:r>
          <m:rPr>
            <m:sty m:val="p"/>
          </m:rPr>
          <m:t>=</m:t>
        </m:r>
        <m:r>
          <m:t>0.05</m:t>
        </m:r>
      </m:oMath>
      <w:r>
        <w:t xml:space="preserve"> </w:t>
      </w:r>
      <w:r>
        <w:t xml:space="preserve">becomes 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across the three</w:t>
      </w:r>
      <w:r>
        <w:t xml:space="preserve"> </w:t>
      </w:r>
      <m:oMath>
        <m:r>
          <m:t>α</m:t>
        </m:r>
      </m:oMath>
      <w:r>
        <w:t xml:space="preserve"> </w:t>
      </w:r>
      <w:r>
        <w:t xml:space="preserve">levels of</w:t>
      </w:r>
      <w:r>
        <w:t xml:space="preserve"> </w:t>
      </w:r>
      <w:r>
        <w:t xml:space="preserve">each backbone, specified in the initial protocol but applied only after the</w:t>
      </w:r>
      <w:r>
        <w:t xml:space="preserve"> </w:t>
      </w:r>
      <w:r>
        <w:t xml:space="preserve">split-level intervals had been read, left ResNet1D-34 with no significant level:</w:t>
      </w:r>
      <w:r>
        <w:t xml:space="preserve"> </w:t>
      </w:r>
      <w:r>
        <w:t xml:space="preserve">at</w:t>
      </w:r>
      <w:r>
        <w:t xml:space="preserve"> </w:t>
      </w:r>
      <m:oMath>
        <m:r>
          <m:t>α</m:t>
        </m:r>
        <m:r>
          <m:rPr>
            <m:sty m:val="p"/>
          </m:rPr>
          <m:t>=</m:t>
        </m:r>
        <m:r>
          <m:t>0.10</m:t>
        </m:r>
      </m:oMath>
      <w:r>
        <w:t xml:space="preserve"> </w:t>
      </w:r>
      <w:r>
        <w:t xml:space="preserve">its Monte Carlo interval excludes zero (Table 6), but the</w:t>
      </w:r>
      <w:r>
        <w:t xml:space="preserve"> </w:t>
      </w:r>
      <w:r>
        <w:t xml:space="preserve">Holm-adjusted one-sided bootstrap</w:t>
      </w:r>
      <w:r>
        <w:t xml:space="preserve"> </w:t>
      </w:r>
      <m:oMath>
        <m:r>
          <m:t>p</m:t>
        </m:r>
      </m:oMath>
      <w:r>
        <w:t xml:space="preserve"> </w:t>
      </w:r>
      <w:r>
        <w:t xml:space="preserve">is 0.0502. The reporting axis was chosen</w:t>
      </w:r>
      <w:r>
        <w:t xml:space="preserve"> </w:t>
      </w:r>
      <w:r>
        <w:t xml:space="preserve">after ICC failed to place the two datasets on one scale. The record-level</w:t>
      </w:r>
      <w:r>
        <w:t xml:space="preserve"> </w:t>
      </w:r>
      <w:r>
        <w:t xml:space="preserve">jackknife, added after the initial plan but specified and committed before it</w:t>
      </w:r>
      <w:r>
        <w:t xml:space="preserve"> </w:t>
      </w:r>
      <w:r>
        <w:t xml:space="preserve">was run, showed that repeated-split significance did not extend to subjects.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w:t>
      </w:r>
      <w:r>
        <w:t xml:space="preserve"> </w:t>
      </w:r>
      <w:r>
        <w:t xml:space="preserve">decision to report on this axis was taken with results in view. The protocol was</w:t>
      </w:r>
      <w:r>
        <w:t xml:space="preserve"> </w:t>
      </w:r>
      <w:r>
        <w:t xml:space="preserve">kept under version control but not publicly registered or formally frozen; it is</w:t>
      </w:r>
      <w:r>
        <w:t xml:space="preserve"> </w:t>
      </w:r>
      <w:r>
        <w:t xml:space="preserve">released with its deviation log.</w:t>
      </w:r>
    </w:p>
    <w:p>
      <w:pPr>
        <w:pStyle w:val="BodyText"/>
        <w:jc w:val="both"/>
      </w:pPr>
      <w:r>
        <w:rPr>
          <w:b/>
          <w:bCs/>
        </w:rPr>
        <w:t xml:space="preserve">Answers to the research questions.</w:t>
      </w:r>
      <w:r>
        <w:t xml:space="preserve"> </w:t>
      </w:r>
      <w:r>
        <w:t xml:space="preserve">RQ1: for HCP, a block-level guarantee</w:t>
      </w:r>
      <w:r>
        <w:t xml:space="preserve"> </w:t>
      </w:r>
      <w:r>
        <w:t xml:space="preserve">at a conventional error rate is enforceable only when the grouping that respects</w:t>
      </w:r>
      <w:r>
        <w:t xml:space="preserve"> </w:t>
      </w:r>
      <w:r>
        <w:t xml:space="preserve">every declared dependence source keeps at least</w:t>
      </w:r>
      <w:r>
        <w:t xml:space="preserve"> </w:t>
      </w:r>
      <m:oMath>
        <m:r>
          <m:rPr>
            <m:sty m:val="p"/>
          </m:rPr>
          <m:t>⌈</m:t>
        </m:r>
        <m:r>
          <m:t>1</m:t>
        </m:r>
        <m:r>
          <m:rPr>
            <m:sty m:val="p"/>
          </m:rPr>
          <m:t>/</m:t>
        </m:r>
        <m:r>
          <m:t>α</m:t>
        </m:r>
        <m:r>
          <m:rPr>
            <m:sty m:val="p"/>
          </m:rPr>
          <m:t>⌉</m:t>
        </m:r>
        <m:r>
          <m:rPr>
            <m:sty m:val="p"/>
          </m:rPr>
          <m:t>−</m:t>
        </m:r>
        <m:r>
          <m:t>1</m:t>
        </m:r>
      </m:oMath>
      <w:r>
        <w:t xml:space="preserve"> </w:t>
      </w:r>
      <w:r>
        <w:t xml:space="preserve">calibration blocks. On PTB-XL this holds for patient blocking at the marginal</w:t>
      </w:r>
      <w:r>
        <w:t xml:space="preserve"> </w:t>
      </w:r>
      <w:r>
        <w:t xml:space="preserve">level, fails for 24 of 44 diagnostic SCP statements at</w:t>
      </w:r>
      <w:r>
        <w:t xml:space="preserve"> </w:t>
      </w:r>
      <m:oMath>
        <m:r>
          <m:t>α</m:t>
        </m:r>
        <m:r>
          <m:rPr>
            <m:sty m:val="p"/>
          </m:rPr>
          <m:t>=</m:t>
        </m:r>
        <m:r>
          <m:t>0.05</m:t>
        </m:r>
      </m:oMath>
      <w:r>
        <w:t xml:space="preserve">, and fails</w:t>
      </w:r>
      <w:r>
        <w:t xml:space="preserve"> </w:t>
      </w:r>
      <w:r>
        <w:t xml:space="preserve">at every conventional level once all four documented sources are declared; on</w:t>
      </w:r>
      <w:r>
        <w:t xml:space="preserve"> </w:t>
      </w:r>
      <w:r>
        <w:t xml:space="preserve">MIT-BIH the 11/11 split rules out levels below</w:t>
      </w:r>
      <w:r>
        <w:t xml:space="preserve"> </w:t>
      </w:r>
      <m:oMath>
        <m:r>
          <m:t>1</m:t>
        </m:r>
        <m:r>
          <m:rPr>
            <m:sty m:val="p"/>
          </m:rPr>
          <m:t>/</m:t>
        </m:r>
        <m:r>
          <m:t>12</m:t>
        </m:r>
      </m:oMath>
      <w:r>
        <w:t xml:space="preserve">; on Challenge 2021 the</w:t>
      </w:r>
      <w:r>
        <w:t xml:space="preserve"> </w:t>
      </w:r>
      <w:r>
        <w:t xml:space="preserve">patient-level count cannot be observed. RQ2: on the 22 MIT-BIH evaluation</w:t>
      </w:r>
      <w:r>
        <w:t xml:space="preserve"> </w:t>
      </w:r>
      <w:r>
        <w:t xml:space="preserve">subjects, ignoring blocks was associated with a coverage shortfall against a</w:t>
      </w:r>
      <w:r>
        <w:t xml:space="preserve"> </w:t>
      </w:r>
      <w:r>
        <w:t xml:space="preserve">matched permutation null that the factorial design attributes mainly to</w:t>
      </w:r>
      <w:r>
        <w:t xml:space="preserve"> </w:t>
      </w:r>
      <w:r>
        <w:t xml:space="preserve">clustering and that grows with the design effect within MIT-BIH, while PTB-XL,</w:t>
      </w:r>
      <w:r>
        <w:t xml:space="preserve"> </w:t>
      </w:r>
      <w:r>
        <w:t xml:space="preserve">with near-singleton blocks, showed none. A jackknife over subjects cannot</w:t>
      </w:r>
      <w:r>
        <w:t xml:space="preserve"> </w:t>
      </w:r>
      <w:r>
        <w:t xml:space="preserve">establish the sign of the shortfall for the population, so RQ2 is answered for</w:t>
      </w:r>
      <w:r>
        <w:t xml:space="preserve"> </w:t>
      </w:r>
      <w:r>
        <w:t xml:space="preserve">the audited records, not beyond them.</w:t>
      </w:r>
    </w:p>
    <w:bookmarkEnd w:id="65"/>
    <w:bookmarkEnd w:id="66"/>
    <w:bookmarkStart w:id="67" w:name="conclusion"/>
    <w:p>
      <w:pPr>
        <w:pStyle w:val="Heading1"/>
      </w:pPr>
      <w:r>
        <w:t xml:space="preserve">7. Conclusion</w:t>
      </w:r>
    </w:p>
    <w:p>
      <w:pPr>
        <w:pStyle w:val="FirstParagraph"/>
        <w:jc w:val="both"/>
      </w:pPr>
      <w:r>
        <w:t xml:space="preserve">For clinical ECG data, whether HCP can deliver a block-level coverage guarantee</w:t>
      </w:r>
      <w:r>
        <w:t xml:space="preserve"> </w:t>
      </w:r>
      <w:r>
        <w:t xml:space="preserve">is settled by the study design before any model is trained. It can do so at a</w:t>
      </w:r>
      <w:r>
        <w:t xml:space="preserve"> </w:t>
      </w:r>
      <w:r>
        <w:t xml:space="preserve">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this extends to crossed sources and diagnostic labels a</w:t>
      </w:r>
      <w:r>
        <w:t xml:space="preserve"> </w:t>
      </w:r>
      <w:r>
        <w:t xml:space="preserve">requirement already known for single groupings. Whether ignoring blocks costs</w:t>
      </w:r>
      <w:r>
        <w:t xml:space="preserve"> </w:t>
      </w:r>
      <w:r>
        <w:t xml:space="preserve">coverage depended on repetition as well as correlation: near-singleton blocks</w:t>
      </w:r>
      <w:r>
        <w:t xml:space="preserve"> </w:t>
      </w:r>
      <w:r>
        <w:t xml:space="preserve">left coverage intact despite substantial correlation, while thousands of beats</w:t>
      </w:r>
      <w:r>
        <w:t xml:space="preserve"> </w:t>
      </w:r>
      <w:r>
        <w:t xml:space="preserve">per subject produced a deficit on the 22 audited subjects that they were too few</w:t>
      </w:r>
      <w:r>
        <w:t xml:space="preserve"> </w:t>
      </w:r>
      <w:r>
        <w:t xml:space="preserve">to establish for the population. The feasibility verdicts are exact given the</w:t>
      </w:r>
      <w:r>
        <w:t xml:space="preserve"> </w:t>
      </w:r>
      <w:r>
        <w:t xml:space="preserve">declared sources; the coverage findings are observations on these records.</w:t>
      </w:r>
      <w:r>
        <w:t xml:space="preserve"> </w:t>
      </w:r>
      <w:r>
        <w:t xml:space="preserve">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other hierarchical</w:t>
      </w:r>
      <w:r>
        <w:t xml:space="preserve"> </w:t>
      </w:r>
      <w:r>
        <w:t xml:space="preserve">constructions carry their own group-count conditions [13], and whether every</w:t>
      </w:r>
      <w:r>
        <w:t xml:space="preserve"> </w:t>
      </w:r>
      <w:r>
        <w:t xml:space="preserve">block-level procedure faces such a boundary is not addressed.</w:t>
      </w:r>
    </w:p>
    <w:bookmarkEnd w:id="67"/>
    <w:bookmarkStart w:id="68"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8"/>
    <w:bookmarkStart w:id="72" w:name="appendix-a.-supplementary-derivations"/>
    <w:p>
      <w:pPr>
        <w:pStyle w:val="Heading1"/>
      </w:pPr>
      <w:r>
        <w:t xml:space="preserve">Appendix A. Supplementary Derivations</w:t>
      </w:r>
    </w:p>
    <w:bookmarkStart w:id="69"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9"/>
    <w:bookmarkStart w:id="70"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Each block mean</w:t>
      </w:r>
      <w:r>
        <w:t xml:space="preserve"> </w:t>
      </w:r>
      <m:oMath>
        <m:sSub>
          <m:e>
            <m:acc>
              <m:accPr>
                <m:chr m:val="‾"/>
              </m:accPr>
              <m:e>
                <m:r>
                  <m:t>F</m:t>
                </m:r>
              </m:e>
            </m:acc>
          </m:e>
          <m:sub>
            <m:r>
              <m:t>k</m:t>
            </m:r>
          </m:sub>
        </m:sSub>
        <m:r>
          <m:rPr>
            <m:sty m:val="p"/>
          </m:rPr>
          <m:t>(</m:t>
        </m:r>
        <m:r>
          <m:t>t</m:t>
        </m:r>
        <m:r>
          <m:rPr>
            <m:sty m:val="p"/>
          </m:rPr>
          <m:t>)</m:t>
        </m:r>
      </m:oMath>
      <w:r>
        <w:t xml:space="preserve"> </w:t>
      </w:r>
      <w:r>
        <w:t xml:space="preserve">has variance</w:t>
      </w:r>
      <w:r>
        <w:t xml:space="preserve"> </w:t>
      </w:r>
      <m:oMath>
        <m:sSup>
          <m:e>
            <m:r>
              <m:t>σ</m:t>
            </m:r>
          </m:e>
          <m:sup>
            <m:r>
              <m:t>2</m:t>
            </m:r>
          </m:sup>
        </m:sSup>
        <m:r>
          <m:rPr>
            <m:sty m:val="p"/>
          </m:rPr>
          <m:t>(</m:t>
        </m:r>
        <m:r>
          <m:t>t</m:t>
        </m:r>
        <m:r>
          <m:rPr>
            <m:sty m:val="p"/>
          </m:rPr>
          <m:t>)</m:t>
        </m:r>
        <m:r>
          <m:rPr>
            <m:sty m:val="p"/>
          </m:rPr>
          <m:t>[</m:t>
        </m:r>
        <m:r>
          <m:t>ρ</m:t>
        </m:r>
        <m:r>
          <m:rPr>
            <m:sty m:val="p"/>
          </m:rPr>
          <m:t>(</m:t>
        </m:r>
        <m:r>
          <m:t>t</m:t>
        </m:r>
        <m:r>
          <m:rPr>
            <m:sty m:val="p"/>
          </m:rPr>
          <m:t>)</m:t>
        </m:r>
        <m:r>
          <m:rPr>
            <m:sty m:val="p"/>
          </m:rPr>
          <m:t>+</m:t>
        </m:r>
        <m:r>
          <m:rPr>
            <m:sty m:val="p"/>
          </m:rPr>
          <m:t>{</m:t>
        </m:r>
        <m:r>
          <m:t>1</m:t>
        </m:r>
        <m:r>
          <m:rPr>
            <m:sty m:val="p"/>
          </m:rPr>
          <m:t>−</m:t>
        </m:r>
        <m:r>
          <m:t>ρ</m:t>
        </m:r>
        <m:r>
          <m:rPr>
            <m:sty m:val="p"/>
          </m:rPr>
          <m:t>(</m:t>
        </m:r>
        <m:r>
          <m:t>t</m:t>
        </m:r>
        <m:r>
          <m:rPr>
            <m:sty m:val="p"/>
          </m:rPr>
          <m:t>)</m:t>
        </m:r>
        <m:r>
          <m:rPr>
            <m:sty m:val="p"/>
          </m:rPr>
          <m:t>}</m:t>
        </m:r>
        <m:r>
          <m:rPr>
            <m:sty m:val="p"/>
          </m:rPr>
          <m:t>/</m:t>
        </m:r>
        <m:sSub>
          <m:e>
            <m:r>
              <m:t>N</m:t>
            </m:r>
          </m:e>
          <m:sub>
            <m:r>
              <m:t>k</m:t>
            </m:r>
          </m:sub>
        </m:sSub>
        <m:r>
          <m:rPr>
            <m:sty m:val="p"/>
          </m:rPr>
          <m:t>]</m:t>
        </m:r>
      </m:oMath>
      <w:r>
        <w:t xml:space="preserve">,</w:t>
      </w:r>
      <w:r>
        <w:t xml:space="preserve"> </w:t>
      </w:r>
      <w:r>
        <w:t xml:space="preserve">and averaging</w:t>
      </w:r>
      <w:r>
        <w:t xml:space="preserve"> </w:t>
      </w:r>
      <m:oMath>
        <m:sSub>
          <m:e>
            <m:r>
              <m:t>K</m:t>
            </m:r>
          </m:e>
          <m:sub>
            <m:r>
              <m:t>1</m:t>
            </m:r>
          </m:sub>
        </m:sSub>
      </m:oMath>
      <w:r>
        <w:t xml:space="preserve"> </w:t>
      </w:r>
      <w:r>
        <w:t xml:space="preserve">independent blocks with equal weights gives</w:t>
      </w:r>
      <w:r>
        <w:t xml:space="preserve"> </w:t>
      </w:r>
      <m:oMath>
        <m:sSup>
          <m:e>
            <m:r>
              <m:t>σ</m:t>
            </m:r>
          </m:e>
          <m:sup>
            <m:r>
              <m:t>2</m:t>
            </m:r>
          </m:sup>
        </m:sSup>
        <m:r>
          <m:rPr>
            <m:sty m:val="p"/>
          </m:rPr>
          <m:t>(</m:t>
        </m:r>
        <m:r>
          <m:t>t</m:t>
        </m:r>
        <m:r>
          <m:rPr>
            <m:sty m:val="p"/>
          </m:rPr>
          <m:t>)</m:t>
        </m:r>
        <m:r>
          <m:rPr>
            <m:sty m:val="p"/>
          </m:rPr>
          <m:t>[</m:t>
        </m:r>
        <m:r>
          <m:t>ρ</m:t>
        </m:r>
        <m:r>
          <m:rPr>
            <m:sty m:val="p"/>
          </m:rPr>
          <m:t>(</m:t>
        </m:r>
        <m:r>
          <m:t>t</m:t>
        </m:r>
        <m:r>
          <m:rPr>
            <m:sty m:val="p"/>
          </m:rPr>
          <m:t>)</m:t>
        </m:r>
        <m:r>
          <m:rPr>
            <m:sty m:val="p"/>
          </m:rPr>
          <m:t>+</m:t>
        </m:r>
        <m:r>
          <m:rPr>
            <m:sty m:val="p"/>
          </m:rPr>
          <m:t>{</m:t>
        </m:r>
        <m:r>
          <m:t>1</m:t>
        </m:r>
        <m:r>
          <m:rPr>
            <m:sty m:val="p"/>
          </m:rPr>
          <m:t>−</m:t>
        </m:r>
        <m:r>
          <m:t>ρ</m:t>
        </m:r>
        <m:r>
          <m:rPr>
            <m:sty m:val="p"/>
          </m:rPr>
          <m:t>(</m:t>
        </m:r>
        <m:r>
          <m:t>t</m:t>
        </m:r>
        <m:r>
          <m:rPr>
            <m:sty m:val="p"/>
          </m:rPr>
          <m:t>)</m:t>
        </m:r>
        <m:r>
          <m:rPr>
            <m:sty m:val="p"/>
          </m:rPr>
          <m:t>}</m:t>
        </m:r>
        <m:r>
          <m:rPr>
            <m:sty m:val="p"/>
          </m:rPr>
          <m:t>/</m:t>
        </m:r>
        <m:r>
          <m:t>H</m:t>
        </m:r>
        <m:r>
          <m:rPr>
            <m:sty m:val="p"/>
          </m:rPr>
          <m:t>]</m:t>
        </m:r>
        <m:r>
          <m:rPr>
            <m:sty m:val="p"/>
          </m:rPr>
          <m:t>/</m:t>
        </m:r>
        <m:sSub>
          <m:e>
            <m:r>
              <m:t>K</m:t>
            </m:r>
          </m:e>
          <m:sub>
            <m:r>
              <m:t>1</m:t>
            </m:r>
          </m:sub>
        </m:sSub>
      </m:oMath>
      <w:r>
        <w:t xml:space="preserve">, which equals (A.1) because</w:t>
      </w:r>
      <w:r>
        <w:t xml:space="preserve"> </w:t>
      </w:r>
      <m:oMath>
        <m:r>
          <m:t>H</m:t>
        </m:r>
        <m:r>
          <m:rPr>
            <m:sty m:val="p"/>
          </m:rPr>
          <m:t>=</m:t>
        </m:r>
        <m:sSub>
          <m:e>
            <m:r>
              <m:t>K</m:t>
            </m:r>
          </m:e>
          <m:sub>
            <m:r>
              <m:t>1</m:t>
            </m:r>
          </m:sub>
        </m:sSub>
        <m:r>
          <m:rPr>
            <m:sty m:val="p"/>
          </m:rPr>
          <m:t>/</m:t>
        </m:r>
        <m:nary>
          <m:naryPr>
            <m:chr m:val="∑"/>
            <m:limLoc m:val="undOvr"/>
            <m:subHide m:val="off"/>
            <m:supHide m:val="on"/>
          </m:naryPr>
          <m:sub>
            <m:r>
              <m:t>k</m:t>
            </m:r>
          </m:sub>
          <m:sup>
            <m:r>
              <m:t>​</m:t>
            </m:r>
          </m:sup>
          <m:e>
            <m:sSubSup>
              <m:e>
                <m:r>
                  <m:t>N</m:t>
                </m:r>
              </m:e>
              <m:sub>
                <m:r>
                  <m:t>k</m:t>
                </m:r>
              </m:sub>
              <m:sup>
                <m:r>
                  <m:rPr>
                    <m:sty m:val="p"/>
                  </m:rPr>
                  <m:t>−</m:t>
                </m:r>
                <m:r>
                  <m:t>1</m:t>
                </m:r>
              </m:sup>
            </m:sSubSup>
          </m:e>
        </m:nary>
      </m:oMath>
      <w:r>
        <w:t xml:space="preserve">.</w:t>
      </w:r>
      <w:r>
        <w:t xml:space="preserve"> </w:t>
      </w: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70"/>
    <w:bookmarkStart w:id="71" w:name="a.3-equal-weighting-in-hcp"/>
    <w:p>
      <w:pPr>
        <w:pStyle w:val="Heading2"/>
      </w:pPr>
      <w:r>
        <w:t xml:space="preserve">A.3 Equal weighting in HCP</w:t>
      </w:r>
    </w:p>
    <w:p>
      <w:pPr>
        <w:pStyle w:val="FirstParagraph"/>
        <w:jc w:val="both"/>
      </w:pPr>
      <w:r>
        <w:t xml:space="preserve">Methodological work on cluster-randomized trials compares uniform,</w:t>
      </w:r>
      <w:r>
        <w:t xml:space="preserve"> </w:t>
      </w:r>
      <w:r>
        <w:t xml:space="preserve">size-proportional and minimum-variance weighting of cluster means and finds</w:t>
      </w:r>
      <w:r>
        <w:t xml:space="preserve"> </w:t>
      </w:r>
      <w:r>
        <w:t xml:space="preserve">minimum-variance weights more efficient than uniform ones when cluster sizes vary</w:t>
      </w:r>
      <w:r>
        <w:t xml:space="preserve"> </w:t>
      </w:r>
      <w:r>
        <w:t xml:space="preserve">[30], [31]. In HCP uniform weighting cannot be replaced, so the practitioner is</w:t>
      </w:r>
      <w:r>
        <w:t xml:space="preserve"> </w:t>
      </w:r>
      <w:r>
        <w:t xml:space="preserve">tied to the less efficient of these two choices without the remedy used there.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71"/>
    <w:bookmarkEnd w:id="72"/>
    <w:bookmarkStart w:id="73"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Monte Carlo interval excludes zero for imbalance at 0/3 levels, for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 (split-level intervals)</w:t>
            </w:r>
          </w:p>
        </w:tc>
        <w:tc>
          <w:tcPr/>
          <w:p>
            <w:pPr>
              <w:pStyle w:val="Compact"/>
            </w:pPr>
            <w:r>
              <w:rPr>
                <w:sz w:val="17"/>
              </w:rPr>
              <w:t xml:space="preserve">Record-level jackknife over the 22 DS2 records: every 95% CI includes zero</w:t>
            </w:r>
          </w:p>
        </w:tc>
      </w:tr>
    </w:tbl>
    <w:bookmarkEnd w:id="73"/>
    <w:bookmarkStart w:id="74"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4"/>
    <w:bookmarkStart w:id="7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
        <w:rPr>
          <w:sz w:val="18"/>
        </w:rPr>
        <w:t>[21]</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Pr>
          <w:i/>
          <w:iCs/>
        </w:rPr>
      </w:r>
      <w:r/>
      <w:r>
        <w:rPr>
          <w:sz w:val="18"/>
        </w:rPr>
        <w:t>[22]</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[23]</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[24]</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[25]</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[26]</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[27]</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[28]</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[29]</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[32]</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[33]</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[34]</w:t>
        <w:tab/>
      </w:r>
      <w:r>
        <w:rPr>
          <w:i w:val="0"/>
          <w:sz w:val="18"/>
        </w:rPr>
        <w:t>P. C. Marques F., “Universal distribution of the empirical coverage in split conformal prediction,” Statistics &amp; Probability Letters, vol. 219, Apr. 2025, doi: 10.1016/j.spl.2024.110350.</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10" Type="http://schemas.openxmlformats.org/officeDocument/2006/relationships/image" Target="media/rId10.png"/><Relationship Id="rId20" Type="http://schemas.openxmlformats.org/officeDocument/2006/relationships/image" Target="media/rId20.png"/><Relationship Id="rId26" Type="http://schemas.openxmlformats.org/officeDocument/2006/relationships/image" Target="media/rId26.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2026-10-04T05:00:54Z</dcterms:created>
  <dcterms:modified xsi:type="dcterms:W3CDTF">2026-10-04T05:00:54Z</dcterms:modified>
</cp:coreProperties>
</file>

<file path=docProps/custom.xml><?xml version="1.0" encoding="utf-8"?>
<Properties xmlns="http://schemas.openxmlformats.org/officeDocument/2006/custom-properties" xmlns:vt="http://schemas.openxmlformats.org/officeDocument/2006/docPropsVTypes"/>
</file>