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f624660.</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pPr>
      <w:r>
        <w:t xml:space="preserve">We propose no new conformal procedure. The contributions are three.</w:t>
      </w:r>
    </w:p>
    <w:p>
      <w:pPr>
        <w:pStyle w:val="Compact"/>
        <w:numPr>
          <w:ilvl w:val="0"/>
          <w:numId w:val="1001"/>
        </w:numPr>
      </w:pPr>
      <w:r>
        <w:t xml:space="preserve">A metadata-only feasibility audit (RQ1; §3, §5.1). The HCP bound,</w:t>
      </w:r>
      <w:r>
        <w:t xml:space="preserve"> </w:t>
      </w:r>
      <w:r>
        <w:t xml:space="preserve">combined with the join of the declared dependence sources, gives exact verdicts</w:t>
      </w:r>
      <w:r>
        <w:t xml:space="preserve"> </w:t>
      </w:r>
      <w:r>
        <w:t xml:space="preserve">before any model is trained: all four documented PTB-XL sources together leave</w:t>
      </w:r>
      <w:r>
        <w:t xml:space="preserve"> </w:t>
      </w:r>
      <w:r>
        <w:t xml:space="preserve">one admissible calibration block, 24 of 44 SCP statements have no finite</w:t>
      </w:r>
      <w:r>
        <w:t xml:space="preserve"> </w:t>
      </w:r>
      <w:r>
        <w:t xml:space="preserve">per-label threshold at</w:t>
      </w:r>
      <w:r>
        <w:t xml:space="preserve"> </w:t>
      </w:r>
      <m:oMath>
        <m:r>
          <m:t>α</m:t>
        </m:r>
        <m:r>
          <m:rPr>
            <m:sty m:val="p"/>
          </m:rPr>
          <m:t>=</m:t>
        </m:r>
        <m:r>
          <m:t>0.05</m:t>
        </m:r>
      </m:oMath>
      <w:r>
        <w:t xml:space="preserve"> </w:t>
      </w:r>
      <w:r>
        <w:t xml:space="preserve">under patient blocking, and an even split</w:t>
      </w:r>
      <w:r>
        <w:t xml:space="preserve"> </w:t>
      </w:r>
      <w:r>
        <w:t xml:space="preserve">of the 22 MIT-BIH evaluation subjects rules out a subject-level guarantee at</w:t>
      </w:r>
      <w:r>
        <w:t xml:space="preserve"> </w:t>
      </w:r>
      <w:r>
        <w:t xml:space="preserve">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attributes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w:t>
      </w:r>
      <w:r>
        <w:t xml:space="preserve"> </w:t>
      </w:r>
      <w:r>
        <w:t xml:space="preserve">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dependence is permuted away, so the gain is largely</w:t>
      </w:r>
      <w:r>
        <w:t xml:space="preserve"> </w:t>
      </w:r>
      <w:r>
        <w:t xml:space="preserve">mechanical; and repeated splits of a fixed set of subjects give intervals for</w:t>
      </w:r>
      <w:r>
        <w:t xml:space="preserve"> </w:t>
      </w:r>
      <w:r>
        <w:t xml:space="preserve">the split procedure, not the population, which on MIT-BIH exclude zero where a</w:t>
      </w:r>
      <w:r>
        <w:t xml:space="preserve"> </w:t>
      </w:r>
      <w:r>
        <w:t xml:space="preserve">jackknife over subjects does not.</w:t>
      </w:r>
    </w:p>
    <w:p>
      <w:pPr>
        <w:pStyle w:val="FirstParagraph"/>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[15]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Because we ask</w:t>
      </w:r>
      <w:r>
        <w:t xml:space="preserve"> </w:t>
      </w:r>
      <w:r>
        <w:t xml:space="preserve">whether any guarantee can be enforced, not which construction is most efficient,</w:t>
      </w:r>
      <w:r>
        <w:t xml:space="preserve"> </w:t>
      </w:r>
      <w:r>
        <w:t xml:space="preserve">the constructions of Dunn et al. [13]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48" w:name="attributing-the-deficit-to-dependence"/>
    <w:p>
      <w:pPr>
        <w:pStyle w:val="Heading2"/>
      </w:pPr>
      <w:r>
        <w:t xml:space="preserve">5.3 Attributing the deficit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Factorial effects on B1 coverage (Monte Carlo 95% intervals, 400 splits; open markers include zero). (b) B12−B1 gap on original and permuted data (whiskers: 2.5–97.5% range); percentages give the mechanical share."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Factorial effects on B1 coverage (Monte Carlo 95% intervals, 400 splits; open markers include zero). (b) B12−B1 gap on original and permuted data (whiskers: 2.5–97.5% range); percentages give the mechanical share.</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blue): beats progressively reassigned between records; PTB-XL (orange): observed patient partition with Monte Carlo 95% interval. Spearman correlations over the 12 points are annotated."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(blue): beats progressively reassigned between records; PTB-XL (orange): observed patient partition with Monte Carlo 95% interval. Spearman correlations over the 12 points are annotated.</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on the two resources audited its answer</w:t>
      </w:r>
      <w:r>
        <w:t xml:space="preserve"> </w:t>
      </w:r>
      <w:r>
        <w:t xml:space="preserve">depended on how many repeats blocks contain more than on how strongly their</w:t>
      </w:r>
      <w:r>
        <w:t xml:space="preserve"> </w:t>
      </w:r>
      <w:r>
        <w:t xml:space="preserve">observations correlate (§5.3–§5.4).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2"/>
        </w:numPr>
      </w:pPr>
      <w:r>
        <w:t xml:space="preserve">Declare dependence sources (patient,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2"/>
        </w:numPr>
      </w:pPr>
      <w:r>
        <w:t xml:space="preserve">Count blocks, not records, under the grouping that respects all declared</w:t>
      </w:r>
      <w:r>
        <w:t xml:space="preserve"> </w:t>
      </w:r>
      <w:r>
        <w:t xml:space="preserve">sources,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label-conditional claims,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repetition 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[13].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[33].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how well ECG networks discriminate on benchmarks [1] is</w:t>
      </w:r>
      <w:r>
        <w:t xml:space="preserve"> </w:t>
      </w:r>
      <w:r>
        <w:t xml:space="preserve">orthogonal to this question: an accurate model calibrated on too few blocks still</w:t>
      </w:r>
      <w:r>
        <w:t xml:space="preserve"> </w:t>
      </w:r>
      <w:r>
        <w:t xml:space="preserve">carries no 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2026-10-03T15:21:18Z</dcterms:created>
  <dcterms:modified xsi:type="dcterms:W3CDTF">2026-10-03T15:21:18Z</dcterms:modified>
</cp:coreProperties>
</file>

<file path=docProps/custom.xml><?xml version="1.0" encoding="utf-8"?>
<Properties xmlns="http://schemas.openxmlformats.org/officeDocument/2006/custom-properties" xmlns:vt="http://schemas.openxmlformats.org/officeDocument/2006/docPropsVTypes"/>
</file>