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Block-Level Feasibility of Conformal Calibration on Clinical ECG Data: An Empirical Audit</w:t>
      </w:r>
    </w:p>
    <w:p>
      <w:pPr>
        <w:pStyle w:val="FirstParagraph"/>
        <w:jc w:val="both"/>
      </w:pPr>
      <w:r>
        <w:rPr>
          <w:i/>
          <w:iCs/>
        </w:rPr>
        <w:t xml:space="preserve">Working draft for internal review — generated 2026-10-02 from commit d0ff934. Sections marked NOT YET WRITTEN are intentionally empty.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[NOT YET WRITTEN]</w:t>
      </w:r>
    </w:p>
    <w:bookmarkEnd w:id="9"/>
    <w:bookmarkStart w:id="14" w:name="related-work"/>
    <w:p>
      <w:pPr>
        <w:pStyle w:val="Heading1"/>
      </w:pPr>
      <w:r>
        <w:t xml:space="preserve">2. Related Work</w:t>
      </w:r>
    </w:p>
    <w:bookmarkStart w:id="10" w:name="Xd4e2d48d8a985b42ffe14f432ed2e7b6a511dfc"/>
    <w:p>
      <w:pPr>
        <w:pStyle w:val="Heading2"/>
      </w:pPr>
      <w:r>
        <w:t xml:space="preserve">2.1 Conformal prediction under violations of exchangeability</w:t>
      </w:r>
    </w:p>
    <w:p>
      <w:pPr>
        <w:pStyle w:val="FirstParagraph"/>
        <w:jc w:val="both"/>
      </w:pPr>
      <w:r>
        <w:t xml:space="preserve">Split conformal prediction attains finite-sample marginal coverage under a single</w:t>
      </w:r>
      <w:r>
        <w:t xml:space="preserve"> </w:t>
      </w:r>
      <w:r>
        <w:t xml:space="preserve">assumption: that calibration and test points are exchangeable. Barber et al. [1]</w:t>
      </w:r>
      <w:r>
        <w:t xml:space="preserve"> </w:t>
      </w:r>
      <w:r>
        <w:t xml:space="preserve">give the sharpest available account of what happens when that assumption fails,</w:t>
      </w:r>
      <w:r>
        <w:t xml:space="preserve"> </w:t>
      </w:r>
      <w:r>
        <w:t xml:space="preserve">bounding the coverage gap by the total-variation distance between the observed</w:t>
      </w:r>
      <w:r>
        <w:t xml:space="preserve"> </w:t>
      </w:r>
      <w:r>
        <w:t xml:space="preserve">data distribution and its exchangeable counterpart. Their analysis is agnostic to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exchangeability fails, which makes it broadly applicable but leaves the</w:t>
      </w:r>
      <w:r>
        <w:t xml:space="preserve"> </w:t>
      </w:r>
      <w:r>
        <w:t xml:space="preserve">practitioner without a constructive remedy for any particular violation.</w:t>
      </w:r>
    </w:p>
    <w:p>
      <w:pPr>
        <w:pStyle w:val="BodyText"/>
        <w:jc w:val="both"/>
      </w:pPr>
      <w:r>
        <w:t xml:space="preserve">A complementary line of work treats specific, structured departures. Weighted</w:t>
      </w:r>
      <w:r>
        <w:t xml:space="preserve"> </w:t>
      </w:r>
      <w:r>
        <w:t xml:space="preserve">conformal prediction handles covariate shift when likelihood ratios are known or</w:t>
      </w:r>
      <w:r>
        <w:t xml:space="preserve"> </w:t>
      </w:r>
      <w:r>
        <w:t xml:space="preserve">estimable [2]; spatially indexed data are addressed in [3]; network dependence</w:t>
      </w:r>
      <w:r>
        <w:t xml:space="preserve"> </w:t>
      </w:r>
      <w:r>
        <w:t xml:space="preserve">in [4]. Bhattacharyya and Barber [5] consider observations belonging to a finite</w:t>
      </w:r>
      <w:r>
        <w:t xml:space="preserve"> </w:t>
      </w:r>
      <w:r>
        <w:t xml:space="preserve">number of groups where</w:t>
      </w:r>
      <w:r>
        <w:t xml:space="preserve"> </w:t>
      </w:r>
      <w:r>
        <w:rPr>
          <w:i/>
          <w:iCs/>
        </w:rPr>
        <w:t xml:space="preserve">group membership determines the covariate shift</w:t>
      </w:r>
      <w:r>
        <w:t xml:space="preserve"> </w:t>
      </w:r>
      <w:r>
        <w:t xml:space="preserve">between</w:t>
      </w:r>
      <w:r>
        <w:t xml:space="preserve"> </w:t>
      </w:r>
      <w:r>
        <w:t xml:space="preserve">training and test distributions — for instance under stratified sampling.</w:t>
      </w:r>
    </w:p>
    <w:p>
      <w:pPr>
        <w:pStyle w:val="BodyText"/>
        <w:jc w:val="both"/>
      </w:pPr>
      <w:r>
        <w:t xml:space="preserve">In [5] the data remain exchangeable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group; what shifts is the</w:t>
      </w:r>
      <w:r>
        <w:t xml:space="preserve"> </w:t>
      </w:r>
      <w:r>
        <w:t xml:space="preserve">mixture over groups. The setting we study is the opposite: the group proportions</w:t>
      </w:r>
      <w:r>
        <w:t xml:space="preserve"> </w:t>
      </w:r>
      <w:r>
        <w:t xml:space="preserve">are stable, but observations within a block are not exchangeable with one</w:t>
      </w:r>
      <w:r>
        <w:t xml:space="preserve"> </w:t>
      </w:r>
      <w:r>
        <w:t xml:space="preserve">another. The vocabulary collides; the problems do not.</w:t>
      </w:r>
    </w:p>
    <w:p>
      <w:pPr>
        <w:pStyle w:val="BodyText"/>
        <w:jc w:val="both"/>
      </w:pPr>
      <w:r>
        <w:t xml:space="preserve">Fontana et al. [6] provide the standard unified treatment of the conformal</w:t>
      </w:r>
      <w:r>
        <w:t xml:space="preserve"> </w:t>
      </w:r>
      <w:r>
        <w:t xml:space="preserve">framework and its variants, including the Mondrian (class-conditional)</w:t>
      </w:r>
      <w:r>
        <w:t xml:space="preserve"> </w:t>
      </w:r>
      <w:r>
        <w:t xml:space="preserve">construction of which we use a calibrated variant [7] as a baseline.</w:t>
      </w:r>
    </w:p>
    <w:bookmarkEnd w:id="10"/>
    <w:bookmarkStart w:id="11" w:name="X3c9268f705d9cf50350c495bae4c77b44726b79"/>
    <w:p>
      <w:pPr>
        <w:pStyle w:val="Heading2"/>
      </w:pPr>
      <w:r>
        <w:t xml:space="preserve">2.2 Conformal prediction for hierarchical data</w:t>
      </w:r>
    </w:p>
    <w:p>
      <w:pPr>
        <w:pStyle w:val="FirstParagraph"/>
        <w:jc w:val="both"/>
      </w:pPr>
      <w:r>
        <w:rPr>
          <w:b/>
          <w:bCs/>
        </w:rPr>
        <w:t xml:space="preserve">The hierarchical exchangeability problem is solved, and not by us.</w:t>
      </w:r>
      <w:r>
        <w:t xml:space="preserve"> </w:t>
      </w:r>
      <w:r>
        <w:t xml:space="preserve">Lee, Barber</w:t>
      </w:r>
      <w:r>
        <w:t xml:space="preserve"> </w:t>
      </w:r>
      <w:r>
        <w:t xml:space="preserve">and Willett [8] derive a hierarchical form of exchangeability for data organised</w:t>
      </w:r>
      <w:r>
        <w:t xml:space="preserve"> </w:t>
      </w:r>
      <w:r>
        <w:t xml:space="preserve">into groups of repeated measurements, and extend both conformal prediction and</w:t>
      </w:r>
      <w:r>
        <w:t xml:space="preserve"> </w:t>
      </w:r>
      <w:r>
        <w:t xml:space="preserve">jackknife+ [9] to that setting. Their Theorem 1 gives the hierarchical conformal</w:t>
      </w:r>
      <w:r>
        <w:t xml:space="preserve"> </w:t>
      </w:r>
      <w:r>
        <w:t xml:space="preserve">prediction (HCP) threshold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T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Q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jc w:val="both"/>
      </w:pPr>
      <w:r>
        <w:t xml:space="preserve">with coverage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and, when scores are almost surely distinct, at</w:t>
      </w:r>
      <w:r>
        <w:t xml:space="preserve"> </w:t>
      </w:r>
      <w:r>
        <w:t xml:space="preserve">most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 Dunn et al. [10] independently study two-layer</w:t>
      </w:r>
      <w:r>
        <w:t xml:space="preserve"> </w:t>
      </w:r>
      <w:r>
        <w:t xml:space="preserve">hierarchical models and introduce four constructions — pooling CDFs, double</w:t>
      </w:r>
      <w:r>
        <w:t xml:space="preserve"> </w:t>
      </w:r>
      <w:r>
        <w:t xml:space="preserve">conformal, subsampling once, and repeated subsampling — that address the same</w:t>
      </w:r>
      <w:r>
        <w:t xml:space="preserve"> </w:t>
      </w:r>
      <w:r>
        <w:t xml:space="preserve">setting.</w:t>
      </w:r>
    </w:p>
    <w:p>
      <w:pPr>
        <w:pStyle w:val="BodyText"/>
        <w:jc w:val="both"/>
      </w:pPr>
      <w:r>
        <w:t xml:space="preserve">Everything in the present paper takes this threshold as given. We do not</w:t>
      </w:r>
      <w:r>
        <w:t xml:space="preserve"> </w:t>
      </w:r>
      <w:r>
        <w:t xml:space="preserve">rederive it, and we claim no credit for it.</w:t>
      </w:r>
    </w:p>
    <w:p>
      <w:pPr>
        <w:pStyle w:val="BodyText"/>
        <w:jc w:val="both"/>
      </w:pPr>
      <w:r>
        <w:t xml:space="preserve">Both [8] and [10] are developed as theory, and their empirical sections are</w:t>
      </w:r>
      <w:r>
        <w:t xml:space="preserve"> </w:t>
      </w:r>
      <w:r>
        <w:t xml:space="preserve">regression problems; [8] evaluates on simulated data and a Lorenz-96 system.</w:t>
      </w:r>
      <w:r>
        <w:t xml:space="preserve"> </w:t>
      </w:r>
      <w:r>
        <w:t xml:space="preserve">Neither asks a question that is prior to applying the method at all:</w:t>
      </w:r>
      <w:r>
        <w:t xml:space="preserve"> </w:t>
      </w:r>
      <w:r>
        <w:rPr>
          <w:i/>
          <w:iCs/>
        </w:rPr>
        <w:t xml:space="preserve">given a</w:t>
      </w:r>
      <w:r>
        <w:rPr>
          <w:i/>
          <w:iCs/>
        </w:rPr>
        <w:t xml:space="preserve"> </w:t>
      </w:r>
      <w:r>
        <w:rPr>
          <w:i/>
          <w:iCs/>
        </w:rPr>
        <w:t xml:space="preserve">real clinical dataset and a target error rate, at which grouping — if any — can</w:t>
      </w:r>
      <w:r>
        <w:rPr>
          <w:i/>
          <w:iCs/>
        </w:rPr>
        <w:t xml:space="preserve"> </w:t>
      </w:r>
      <w:r>
        <w:rPr>
          <w:i/>
          <w:iCs/>
        </w:rPr>
        <w:t xml:space="preserve">the guarantee be enforced?</w:t>
      </w:r>
      <w:r>
        <w:t xml:space="preserve"> </w:t>
      </w:r>
      <w:r>
        <w:t xml:space="preserve">The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atom at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makes this a</w:t>
      </w:r>
      <w:r>
        <w:t xml:space="preserve"> </w:t>
      </w:r>
      <w:r>
        <w:t xml:space="preserve">non-trivial question, because it renders the threshold infinite whenever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  <w:jc w:val="both"/>
      </w:pPr>
      <w:r>
        <w:t xml:space="preserve">The authors of [8] state the open question themselves in their discussion,</w:t>
      </w:r>
      <w:r>
        <w:t xml:space="preserve"> </w:t>
      </w:r>
      <w:r>
        <w:t xml:space="preserve">observing that an analyst may choose between many independent groups with few</w:t>
      </w:r>
      <w:r>
        <w:t xml:space="preserve"> </w:t>
      </w:r>
      <w:r>
        <w:t xml:space="preserve">measurements each or few groups with many repeats, and that</w:t>
      </w:r>
      <w:r>
        <w:t xml:space="preserve"> </w:t>
      </w:r>
      <w:r>
        <w:rPr>
          <w:i/>
          <w:iCs/>
        </w:rPr>
        <w:t xml:space="preserve">characterising the</w:t>
      </w:r>
      <w:r>
        <w:rPr>
          <w:i/>
          <w:iCs/>
        </w:rPr>
        <w:t xml:space="preserve"> </w:t>
      </w:r>
      <w:r>
        <w:rPr>
          <w:i/>
          <w:iCs/>
        </w:rPr>
        <w:t xml:space="preserve">pros and cons of this tradeoff is an important question to determine how study</w:t>
      </w:r>
      <w:r>
        <w:rPr>
          <w:i/>
          <w:iCs/>
        </w:rPr>
        <w:t xml:space="preserve"> </w:t>
      </w:r>
      <w:r>
        <w:rPr>
          <w:i/>
          <w:iCs/>
        </w:rPr>
        <w:t xml:space="preserve">design affects inference in this distribution-free setting.</w:t>
      </w:r>
      <w:r>
        <w:t xml:space="preserve"> </w:t>
      </w:r>
      <w:r>
        <w:t xml:space="preserve">Section 5 addresses</w:t>
      </w:r>
      <w:r>
        <w:t xml:space="preserve"> </w:t>
      </w:r>
      <w:r>
        <w:t xml:space="preserve">the most elementary part of that question — whether a finite threshold exists at</w:t>
      </w:r>
      <w:r>
        <w:t xml:space="preserve"> </w:t>
      </w:r>
      <w:r>
        <w:t xml:space="preserve">all for a given design — and the remainder of the paper measures what happens on</w:t>
      </w:r>
      <w:r>
        <w:t xml:space="preserve"> </w:t>
      </w:r>
      <w:r>
        <w:t xml:space="preserve">real clinical data when it does.</w:t>
      </w:r>
    </w:p>
    <w:bookmarkEnd w:id="11"/>
    <w:bookmarkStart w:id="12" w:name="Xb3d62584b5b09de89f81cd02ff8bdeb643dc2f4"/>
    <w:p>
      <w:pPr>
        <w:pStyle w:val="Heading2"/>
      </w:pPr>
      <w:r>
        <w:t xml:space="preserve">2.3 Conformal prediction for multi-label and hierarchical label spaces</w:t>
      </w:r>
    </w:p>
    <w:p>
      <w:pPr>
        <w:pStyle w:val="FirstParagraph"/>
        <w:jc w:val="both"/>
      </w:pPr>
      <w:r>
        <w:t xml:space="preserve">Papadopoulos [11] reviews conformal methods for multi-label learning and organises</w:t>
      </w:r>
      <w:r>
        <w:t xml:space="preserve"> </w:t>
      </w:r>
      <w:r>
        <w:t xml:space="preserve">them by output type, guarantee, and where label dependence enters. The review is</w:t>
      </w:r>
      <w:r>
        <w:t xml:space="preserve"> </w:t>
      </w:r>
      <w:r>
        <w:t xml:space="preserve">explicit that the surveyed literature rests on the exchangeability assumption</w:t>
      </w:r>
      <w:r>
        <w:t xml:space="preserve"> </w:t>
      </w:r>
      <w:r>
        <w:t xml:space="preserve">throughout — that is, it treats dependence between labels while assuming</w:t>
      </w:r>
      <w:r>
        <w:t xml:space="preserve"> </w:t>
      </w:r>
      <w:r>
        <w:t xml:space="preserve">independence between samples. Our setting requires the converse.</w:t>
      </w:r>
    </w:p>
    <w:p>
      <w:pPr>
        <w:pStyle w:val="BodyText"/>
        <w:jc w:val="both"/>
      </w:pPr>
      <w:r>
        <w:t xml:space="preserve">Maltoudoglou et al. [12] address the computational cost of Label Powerset</w:t>
      </w:r>
      <w:r>
        <w:t xml:space="preserve"> </w:t>
      </w:r>
      <w:r>
        <w:t xml:space="preserve">conformal prediction by pruning label sets whose</w:t>
      </w:r>
      <w:r>
        <w:t xml:space="preserve"> </w:t>
      </w:r>
      <m:oMath>
        <m:r>
          <m:t>p</m:t>
        </m:r>
      </m:oMath>
      <w:r>
        <w:t xml:space="preserve">-values cannot exceed the</w:t>
      </w:r>
      <w:r>
        <w:t xml:space="preserve"> </w:t>
      </w:r>
      <w:r>
        <w:t xml:space="preserve">significance level. Hierarchical multi-label classification without conformal</w:t>
      </w:r>
      <w:r>
        <w:t xml:space="preserve"> </w:t>
      </w:r>
      <w:r>
        <w:t xml:space="preserve">guarantees is well developed [13], as is its application to clinical</w:t>
      </w:r>
      <w:r>
        <w:t xml:space="preserve"> </w:t>
      </w:r>
      <w:r>
        <w:t xml:space="preserve">recommendation [14].</w:t>
      </w:r>
    </w:p>
    <w:p>
      <w:pPr>
        <w:pStyle w:val="BodyText"/>
        <w:jc w:val="both"/>
      </w:pPr>
      <w:r>
        <w:t xml:space="preserve">Two recent efforts are close enough to require explicit differentiation. Baheri</w:t>
      </w:r>
      <w:r>
        <w:t xml:space="preserve"> </w:t>
      </w:r>
      <w:r>
        <w:t xml:space="preserve">and Amiri Shahbazi [15] define a conformity function at each of several</w:t>
      </w:r>
      <w:r>
        <w:t xml:space="preserve"> </w:t>
      </w:r>
      <w:r>
        <w:t xml:space="preserve">resolutions and intersect the resulting sets, distributing the miscoverage</w:t>
      </w:r>
      <w:r>
        <w:t xml:space="preserve"> </w:t>
      </w:r>
      <w:r>
        <w:t xml:space="preserve">budget across scales; the operation shrinks sets and pays a Bonferroni-type price</w:t>
      </w:r>
      <w:r>
        <w:t xml:space="preserve"> </w:t>
      </w:r>
      <w:r>
        <w:t xml:space="preserve">in coverage. Our hierarchical closure moves in the opposite direction: it</w:t>
      </w:r>
      <w:r>
        <w:t xml:space="preserve"> </w:t>
      </w:r>
      <w:r>
        <w:t xml:space="preserve">enlarges sets upward along the label taxonomy, and coverage is non-decreasing</w:t>
      </w:r>
      <w:r>
        <w:t xml:space="preserve"> </w:t>
      </w:r>
      <w:r>
        <w:t xml:space="preserve">as a result. Zhang et al. [16] represent prediction sets as nodes in a</w:t>
      </w:r>
      <w:r>
        <w:t xml:space="preserve"> </w:t>
      </w:r>
      <w:r>
        <w:t xml:space="preserve">directed acyclic graph, using coarse labels to</w:t>
      </w:r>
      <w:r>
        <w:t xml:space="preserve"> </w:t>
      </w:r>
      <w:r>
        <w:rPr>
          <w:i/>
          <w:iCs/>
        </w:rPr>
        <w:t xml:space="preserve">implicitly represent</w:t>
      </w:r>
      <w:r>
        <w:t xml:space="preserve"> </w:t>
      </w:r>
      <w:r>
        <w:t xml:space="preserve">their</w:t>
      </w:r>
      <w:r>
        <w:t xml:space="preserve"> </w:t>
      </w:r>
      <w:r>
        <w:t xml:space="preserve">descendants — a downward compression, again opposite in direction to upward</w:t>
      </w:r>
      <w:r>
        <w:t xml:space="preserve"> </w:t>
      </w:r>
      <w:r>
        <w:t xml:space="preserve">closure.</w:t>
      </w:r>
    </w:p>
    <w:bookmarkEnd w:id="12"/>
    <w:bookmarkStart w:id="13" w:name="X4e741a49732c3a13a6656c952bf1f83b478a4d6"/>
    <w:p>
      <w:pPr>
        <w:pStyle w:val="Heading2"/>
      </w:pPr>
      <w:r>
        <w:t xml:space="preserve">2.4 Uncertainty quantification for ECG and the inter-patient protocol</w:t>
      </w:r>
    </w:p>
    <w:p>
      <w:pPr>
        <w:pStyle w:val="FirstParagraph"/>
        <w:jc w:val="both"/>
      </w:pPr>
      <w:r>
        <w:t xml:space="preserve">Strodthoff et al. [17] established the benchmark suite for PTB-XL [18], [19], whose</w:t>
      </w:r>
      <w:r>
        <w:t xml:space="preserve"> </w:t>
      </w:r>
      <w:r>
        <w:t xml:space="preserve">residual architectures inform the backbones used here. Evaluation on heartbeat-level arrhythmia data</w:t>
      </w:r>
      <w:r>
        <w:t xml:space="preserve"> </w:t>
      </w:r>
      <w:r>
        <w:t xml:space="preserve">follows the inter-patient protocol, in which no subject contributes to both</w:t>
      </w:r>
      <w:r>
        <w:t xml:space="preserve"> </w:t>
      </w:r>
      <w:r>
        <w:t xml:space="preserve">training and evaluation [20], [21]; violating this separation inflates reported</w:t>
      </w:r>
      <w:r>
        <w:t xml:space="preserve"> </w:t>
      </w:r>
      <w:r>
        <w:t xml:space="preserve">performance and is the single most common methodological error in the area [22].</w:t>
      </w:r>
    </w:p>
    <w:p>
      <w:pPr>
        <w:pStyle w:val="BodyText"/>
        <w:jc w:val="both"/>
      </w:pPr>
      <w:r>
        <w:t xml:space="preserve">Reviews of uncertainty quantification in clinical deep learning [23] and the</w:t>
      </w:r>
      <w:r>
        <w:t xml:space="preserve"> </w:t>
      </w:r>
      <w:r>
        <w:t xml:space="preserve">FUTURE-AI consensus guideline [24] both identify calibrated uncertainty as a</w:t>
      </w:r>
      <w:r>
        <w:t xml:space="preserve"> </w:t>
      </w:r>
      <w:r>
        <w:t xml:space="preserve">prerequisite for deployment, making the requirement a matter of published</w:t>
      </w:r>
      <w:r>
        <w:t xml:space="preserve"> </w:t>
      </w:r>
      <w:r>
        <w:t xml:space="preserve">consensus rather than authorial preference. Conformal prediction specifically in</w:t>
      </w:r>
      <w:r>
        <w:t xml:space="preserve"> </w:t>
      </w:r>
      <w:r>
        <w:t xml:space="preserve">clinical medicine is surveyed in [25], with recent applications to anatomical</w:t>
      </w:r>
      <w:r>
        <w:t xml:space="preserve"> </w:t>
      </w:r>
      <w:r>
        <w:t xml:space="preserve">landmark localisation [26] and multi-label diagnosis coding [27]. Conformal risk</w:t>
      </w:r>
      <w:r>
        <w:t xml:space="preserve"> </w:t>
      </w:r>
      <w:r>
        <w:t xml:space="preserve">control [28] and conformal prediction for time series [29] supply the loss-control</w:t>
      </w:r>
      <w:r>
        <w:t xml:space="preserve"> </w:t>
      </w:r>
      <w:r>
        <w:t xml:space="preserve">and temporal machinery we build on.</w:t>
      </w:r>
    </w:p>
    <w:p>
      <w:pPr>
        <w:pStyle w:val="BodyText"/>
        <w:jc w:val="both"/>
      </w:pPr>
      <w:r>
        <w:t xml:space="preserve">None of these works examines whether the exchangeability assumption underlying</w:t>
      </w:r>
      <w:r>
        <w:t xml:space="preserve"> </w:t>
      </w:r>
      <w:r>
        <w:t xml:space="preserve">their conformal guarantees is satisfiable at the grouping level their data</w:t>
      </w:r>
      <w:r>
        <w:t xml:space="preserve"> </w:t>
      </w:r>
      <w:r>
        <w:t xml:space="preserve">actually possess. That question is the subject of this paper.</w:t>
      </w:r>
    </w:p>
    <w:bookmarkEnd w:id="13"/>
    <w:bookmarkEnd w:id="14"/>
    <w:bookmarkStart w:id="18" w:name="preliminaries-and-notation"/>
    <w:p>
      <w:pPr>
        <w:pStyle w:val="Heading1"/>
      </w:pPr>
      <w:r>
        <w:t xml:space="preserve">3. Preliminaries and Notation</w:t>
      </w:r>
    </w:p>
    <w:bookmarkStart w:id="15" w:name="X25fc5e6cd1c3efadf9fe8f0fadf134fc9f50154"/>
    <w:p>
      <w:pPr>
        <w:pStyle w:val="Heading2"/>
      </w:pPr>
      <w:r>
        <w:t xml:space="preserve">3.1 Hierarchical data and blocked exchangeability</w:t>
      </w:r>
    </w:p>
    <w:p>
      <w:pPr>
        <w:pStyle w:val="FirstParagraph"/>
        <w:jc w:val="both"/>
      </w:pPr>
      <w:r>
        <w:t xml:space="preserve">Sections 3.1–3.2 restate the framework of Lee et al. [8] for completeness of notation; none of it is claimed as ours.</w:t>
      </w:r>
    </w:p>
    <w:p>
      <w:pPr>
        <w:pStyle w:val="BodyText"/>
        <w:jc w:val="both"/>
      </w:pPr>
      <w:r>
        <w:t xml:space="preserve">Let the calibration data consist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blocks (groups), where block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</m:oMath>
      <w:r>
        <w:t xml:space="preserve">. Write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for the total number of observations. In our clinical setting a block is a patient and an observation is a single 10-second ECG recording, but the framework is agnostic to what defines a block.</w:t>
      </w:r>
    </w:p>
    <w:p>
      <w:pPr>
        <w:pStyle w:val="BodyText"/>
        <w:jc w:val="both"/>
      </w:pPr>
      <w:r>
        <w:t xml:space="preserve">Standard conformal prediction assumes the calibration and test points are exchangeable. Lee et al. [8] show that this fails whenever observations are nested within groups, and introduce hierarchical exchangeability: blocks are exchangeable with one another, and observations are exchangeable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block, but observations are not exchangeable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the full pooled sample.</w:t>
      </w:r>
    </w:p>
    <w:p>
      <w:pPr>
        <w:pStyle w:val="BodyText"/>
        <w:jc w:val="bot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denote a nonconformity score, fixed independently of the calibration data, and write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β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denote the lower</w:t>
      </w:r>
      <w:r>
        <w:t xml:space="preserve"> </w:t>
      </w:r>
      <m:oMath>
        <m:r>
          <m:t>β</m:t>
        </m:r>
      </m:oMath>
      <w:r>
        <w:t xml:space="preserve">-quantile of a distribution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t xml:space="preserve">.</w:t>
      </w:r>
    </w:p>
    <w:bookmarkEnd w:id="15"/>
    <w:bookmarkStart w:id="16" w:name="hierarchical-conformal-prediction-hcp"/>
    <w:p>
      <w:pPr>
        <w:pStyle w:val="Heading2"/>
      </w:pPr>
      <w:r>
        <w:t xml:space="preserve">3.2 Hierarchical conformal prediction (HCP)</w:t>
      </w:r>
    </w:p>
    <w:p>
      <w:pPr>
        <w:pStyle w:val="FirstParagraph"/>
      </w:pPr>
      <w:r>
        <w:t xml:space="preserve">Writing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 number of calibration blocks, HCP calibrates the threshold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T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Q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  <m:r>
                <m:t> </m:t>
              </m:r>
              <m:sSub>
                <m:e>
                  <m:r>
                    <m:t>δ</m:t>
                  </m:r>
                </m:e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sub>
              </m:sSub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  <w:jc w:val="both"/>
      </w:pPr>
      <w:r>
        <w:t xml:space="preserve">Two features of (1) drive everything that follows. First, each block contributes the same total mass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regardless of how many observations it contains; within a block that mass is divided evenly across its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members. Second, a mass of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is placed at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which is the price of not knowing the test block in advance.</w:t>
      </w:r>
    </w:p>
    <w:p>
      <w:pPr>
        <w:pStyle w:val="BodyText"/>
      </w:pPr>
      <w:r>
        <w:t xml:space="preserve">Lee et al. [8, Th. 1] prove the two-sided guarantee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∈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  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</w:pPr>
      <w:r>
        <w:t xml:space="preserve">for a test point drawn from a previously unseen block.</w:t>
      </w:r>
    </w:p>
    <w:bookmarkEnd w:id="16"/>
    <w:bookmarkStart w:id="17" w:name="label-hierarchy"/>
    <w:p>
      <w:pPr>
        <w:pStyle w:val="Heading2"/>
      </w:pPr>
      <w:r>
        <w:t xml:space="preserve">3.3 Label hierarchy</w:t>
      </w:r>
    </w:p>
    <w:p>
      <w:pPr>
        <w:pStyle w:val="FirstParagraph"/>
        <w:jc w:val="both"/>
      </w:pPr>
      <w:r>
        <w:t xml:space="preserve">PTB-XL organises diagnoses as a three-level tree: 5 diagnostic superclasses, 23 subclasses, and 44 diagnostic SCP statements. A recording may carry several labels simultaneously, so the target is a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rather than a single class. We write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parent of label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and call a set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upward closed if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⇒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roblem-formulation"/>
    <w:p>
      <w:pPr>
        <w:pStyle w:val="Heading1"/>
      </w:pPr>
      <w:r>
        <w:t xml:space="preserve">4. Problem Formulation</w:t>
      </w:r>
    </w:p>
    <w:p>
      <w:pPr>
        <w:pStyle w:val="FirstParagraph"/>
        <w:jc w:val="both"/>
      </w:pPr>
      <w:r>
        <w:t xml:space="preserve">Equation (1) is a complete recipe once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are given. It does not, however, say anything about</w:t>
      </w:r>
      <w:r>
        <w:t xml:space="preserve"> </w:t>
      </w:r>
      <w:r>
        <w:rPr>
          <w:i/>
          <w:iCs/>
        </w:rPr>
        <w:t xml:space="preserve">whether the resulting guarantee carries any information</w:t>
      </w:r>
      <w:r>
        <w:t xml:space="preserve">. That is the question we take up.</w:t>
      </w:r>
    </w:p>
    <w:bookmarkStart w:id="19" w:name="when-is-a-non-trivial-guarantee-possible"/>
    <w:p>
      <w:pPr>
        <w:pStyle w:val="Heading2"/>
      </w:pPr>
      <w:r>
        <w:t xml:space="preserve">4.1 When is a non-trivial guarantee possible?</w:t>
      </w:r>
    </w:p>
    <w:p>
      <w:pPr>
        <w:pStyle w:val="FirstParagraph"/>
      </w:pPr>
      <w:r>
        <w:rPr>
          <w:b/>
          <w:bCs/>
        </w:rPr>
        <w:t xml:space="preserve">Proposition 1 (feasibility).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if and only if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finite atoms in (1) carry total mass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denote the weighted CDF in (1). Then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 every finite</w:t>
      </w:r>
      <w:r>
        <w:t xml:space="preserve"> </w:t>
      </w:r>
      <m:oMath>
        <m:r>
          <m:t>t</m:t>
        </m:r>
      </m:oMath>
      <w:r>
        <w:t xml:space="preserve">, with equality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M</m:t>
        </m:r>
      </m:oMath>
      <w:r>
        <w:t xml:space="preserve">. Since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}</m:t>
        </m:r>
      </m:oMath>
      <w:r>
        <w:t xml:space="preserve">, the threshold is finite iff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  <w:jc w:val="both"/>
      </w:pPr>
      <w:r>
        <w:t xml:space="preserve">When (3) fails,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for every input: the guarantee (2) holds vacuously and conveys nothing.</w:t>
      </w:r>
    </w:p>
    <w:p>
      <w:pPr>
        <w:pStyle w:val="BodyText"/>
        <w:jc w:val="both"/>
      </w:pPr>
      <w:r>
        <w:rPr>
          <w:b/>
          <w:bCs/>
        </w:rPr>
        <w:t xml:space="preserve">Corollary 1.1 (independence of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t xml:space="preserve">The right-hand side of (3) does not involve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 Collecting more measurements per block can never restore feasibility, no matter how many are collected.</w:t>
      </w:r>
    </w:p>
    <w:p>
      <w:pPr>
        <w:pStyle w:val="BodyText"/>
        <w:jc w:val="both"/>
      </w:pPr>
      <w:r>
        <w:rPr>
          <w:b/>
          <w:bCs/>
        </w:rPr>
        <w:t xml:space="preserve">Corollary 1.2.</w:t>
      </w:r>
      <w:r>
        <w:t xml:space="preserve"> </w:t>
      </w:r>
      <w:r>
        <w:t xml:space="preserve">The minimum number of calibration blocks is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t xml:space="preserve">.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this is 19 blocks, not 20.</w:t>
      </w:r>
    </w:p>
    <w:p>
      <w:pPr>
        <w:pStyle w:val="BodyText"/>
        <w:jc w:val="both"/>
      </w:pPr>
      <w:r>
        <w:rPr>
          <w:b/>
          <w:bCs/>
        </w:rPr>
        <w:t xml:space="preserve">Corollary 1.3 (consistency with split conformal).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(3) reduces to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, the textbook requirement for split conformal. We verified this numerically as a check on both the derivation and the implementation.</w:t>
      </w:r>
    </w:p>
    <w:p>
      <w:pPr>
        <w:pStyle w:val="BodyText"/>
        <w:jc w:val="both"/>
      </w:pPr>
      <w:r>
        <w:rPr>
          <w:b/>
          <w:bCs/>
        </w:rPr>
        <w:t xml:space="preserve">Remark (strictness).</w:t>
      </w:r>
      <w:r>
        <w:t xml:space="preserve"> </w:t>
      </w:r>
      <w:r>
        <w:t xml:space="preserve">An earlier version of this work stated (3) as a strict inequality. That is wrong at the boundary: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exactly, the finite mass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i/>
          <w:iCs/>
        </w:rPr>
        <w:t xml:space="preserve">equals</w:t>
      </w:r>
      <w:r>
        <w:t xml:space="preserve"> </w:t>
      </w:r>
      <w:r>
        <w:t xml:space="preserve">the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 so the infimum is attained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threshold is finite. Simulation at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gives empirical coverage</w:t>
      </w:r>
      <w:r>
        <w:t xml:space="preserve"> </w:t>
      </w:r>
      <m:oMath>
        <m:r>
          <m:t>0.9512</m:t>
        </m:r>
        <m:r>
          <m:rPr>
            <m:sty m:val="p"/>
          </m:rPr>
          <m:t>≥</m:t>
        </m:r>
        <m:r>
          <m:t>0.95</m:t>
        </m:r>
      </m:oMath>
      <w:r>
        <w:t xml:space="preserve">. We report the correction because the non-strict form is what makes Corollary 1.3 line up with the standard split-conformal condition — a useful cross-check for readers.</w:t>
      </w:r>
    </w:p>
    <w:bookmarkEnd w:id="19"/>
    <w:bookmarkStart w:id="20" w:name="X1fa66aeff815efda11a4c9af10795ff76629295"/>
    <w:p>
      <w:pPr>
        <w:pStyle w:val="Heading2"/>
      </w:pPr>
      <w:r>
        <w:t xml:space="preserve">4.2 Multiple dependence sources and crossed designs</w:t>
      </w:r>
    </w:p>
    <w:p>
      <w:pPr>
        <w:pStyle w:val="FirstParagraph"/>
        <w:jc w:val="both"/>
      </w:pPr>
      <w:r>
        <w:t xml:space="preserve">Real clinical datasets carry several candidate blocking variables at once: patient, device, operator, site. These need not be nested.</w:t>
      </w:r>
    </w:p>
    <w:p>
      <w:pPr>
        <w:pStyle w:val="BodyText"/>
        <w:jc w:val="both"/>
      </w:pPr>
      <w:r>
        <w:rPr>
          <w:b/>
          <w:bCs/>
        </w:rPr>
        <w:t xml:space="preserve">Definition (sufficiency).</w:t>
      </w:r>
      <w:r>
        <w:t xml:space="preserve"> </w:t>
      </w:r>
      <w:r>
        <w:t xml:space="preserve">A partition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for a dependence source with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refines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, i.e. every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-block lies entirely inside a single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-block.</w:t>
      </w:r>
    </w:p>
    <w:p>
      <w:pPr>
        <w:pStyle w:val="BodyText"/>
        <w:jc w:val="both"/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 </w:t>
      </w:r>
      <w:r>
        <w:t xml:space="preserve">is not sufficient 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, then dependent observations are split across different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-blocks and are treated as independent — exactly the error the hierarchical machinery exists to prevent.</w:t>
      </w:r>
    </w:p>
    <w:p>
      <w:pPr>
        <w:pStyle w:val="BodyText"/>
        <w:jc w:val="both"/>
      </w:pPr>
      <w:r>
        <w:rPr>
          <w:b/>
          <w:bCs/>
        </w:rPr>
        <w:t xml:space="preserve">Proposition 3 (crossed designs force the join).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 </w:t>
      </w:r>
      <w:r>
        <w:t xml:space="preserve">to be sufficient for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, it must be coarser than each. The finest such</w:t>
      </w:r>
      <w:r>
        <w:t xml:space="preserve"> </w:t>
      </w:r>
      <m:oMath>
        <m:r>
          <m:rPr>
            <m:scr m:val="script"/>
            <m:sty m:val="p"/>
          </m:rPr>
          <m:t>Q</m:t>
        </m:r>
      </m:oMath>
      <w:r>
        <w:t xml:space="preserve"> </w:t>
      </w:r>
      <w:r>
        <w:t xml:space="preserve">is the join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partition lattice: the connected components of the graph linking two observations whenever they share 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-block or 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-block. This is a standard fact about the partition lattice; we state it because its consequence for conformal calibration is what matters here.</w:t>
      </w:r>
    </w:p>
    <w:p>
      <w:pPr>
        <w:pStyle w:val="BodyText"/>
      </w:pPr>
      <w:r>
        <w:rPr>
          <w:b/>
          <w:bCs/>
        </w:rPr>
        <w:t xml:space="preserve">Corollary 3.1.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∨</m:t>
          </m:r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rPr>
          <w:b/>
          <w:bCs/>
        </w:rPr>
        <w:t xml:space="preserve">Corollary 3.2 (impossibility).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⌈</m:t>
        </m:r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then no HCP calibration yields a non-trivial guarantee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while accounting for both dependence sources. This is a property of the study design, not a shortcoming of any estimator.</w:t>
      </w:r>
    </w:p>
    <w:p>
      <w:pPr>
        <w:pStyle w:val="BodyText"/>
        <w:jc w:val="both"/>
      </w:pPr>
      <w:r>
        <w:rPr>
          <w:b/>
          <w:bCs/>
        </w:rPr>
        <w:t xml:space="preserve">Scope of Corollary 3.2.</w:t>
      </w:r>
      <w:r>
        <w:t xml:space="preserve"> </w:t>
      </w:r>
      <w:r>
        <w:t xml:space="preserve">We prove Corollary 3.2 for the HCP/Dunn family. Whether it extends to every distribution-free method whose validity rests on between-block exchangeability remains open. We conjecture that it does, by analogy with the unavoidability of the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requirement for split conformal, but we do not claim it.</w:t>
      </w:r>
    </w:p>
    <w:bookmarkEnd w:id="20"/>
    <w:bookmarkStart w:id="21" w:name="X97431b323c4987209ce3ec216df687e6d054f79"/>
    <w:p>
      <w:pPr>
        <w:pStyle w:val="Heading2"/>
      </w:pPr>
      <w:r>
        <w:t xml:space="preserve">4.3 What the guarantee is</w:t>
      </w:r>
      <w:r>
        <w:t xml:space="preserve"> </w:t>
      </w:r>
      <w:r>
        <w:rPr>
          <w:i/>
          <w:iCs/>
        </w:rPr>
        <w:t xml:space="preserve">about</w:t>
      </w:r>
      <w:r>
        <w:t xml:space="preserve">: multi-label targets</w:t>
      </w:r>
    </w:p>
    <w:p>
      <w:pPr>
        <w:pStyle w:val="FirstParagraph"/>
        <w:jc w:val="both"/>
      </w:pPr>
      <w:r>
        <w:t xml:space="preserve">For multi-label outputs the notion of coverage must be chosen, not inherited. We use superset coverage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⊆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  <w:jc w:val="both"/>
      </w:pPr>
      <w:r>
        <w:t xml:space="preserve">Superset coverage (4) is not a new result. Theorem 1 never touches the structure of the label space; it only requires a fixed scalar score. Setting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ℓ</m:t>
            </m:r>
            <m:r>
              <m:rPr>
                <m:sty m:val="p"/>
              </m:rPr>
              <m:t>∈</m:t>
            </m:r>
            <m:r>
              <m:t>Y</m:t>
            </m:r>
          </m:sub>
        </m:sSub>
        <m:sSub>
          <m:e>
            <m:r>
              <m:t>s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⊆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}</m:t>
        </m:r>
        <m:r>
          <m:rPr>
            <m:sty m:val="p"/>
          </m:rPr>
          <m:t>⇔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, so HCP applies unchanged. We present this as method, not contribution.</w:t>
      </w:r>
    </w:p>
    <w:p>
      <w:pPr>
        <w:pStyle w:val="BodyText"/>
      </w:pPr>
      <w:r>
        <w:t xml:space="preserve">The substantive question is the label-conditional target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ℓ</m:t>
          </m:r>
          <m:r>
            <m:rPr>
              <m:sty m:val="p"/>
            </m:rPr>
            <m:t>∈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d>
            <m:dPr>
              <m:begChr m:val="|"/>
              <m:sepChr m:val=""/>
              <m:endChr m:val=")"/>
              <m:grow/>
            </m:dPr>
            <m:e>
              <m:r>
                <m:t> </m:t>
              </m:r>
              <m:r>
                <m:t>ℓ</m:t>
              </m:r>
              <m:r>
                <m:rPr>
                  <m:sty m:val="p"/>
                </m:rPr>
                <m:t>∈</m:t>
              </m:r>
              <m:r>
                <m:t>Y</m:t>
              </m:r>
            </m:e>
          </m:d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</w:pPr>
      <w:r>
        <w:t xml:space="preserve">which does not reduce, and which we take up in §5.3.</w:t>
      </w:r>
    </w:p>
    <w:p>
      <w:pPr>
        <w:pStyle w:val="BodyText"/>
        <w:jc w:val="both"/>
      </w:pPr>
      <w:r>
        <w:rPr>
          <w:b/>
          <w:bCs/>
        </w:rPr>
        <w:t xml:space="preserve">Records with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In PTB-XL, 411 recordings (1.9%) carry no diagnostic superclass. Under (4) these are covered trivially, so including them would inflate measured coverage without evidence. We exclude them from calibration and evaluation and report the exclusion.</w:t>
      </w:r>
    </w:p>
    <w:bookmarkEnd w:id="21"/>
    <w:bookmarkEnd w:id="22"/>
    <w:bookmarkStart w:id="36" w:name="methods"/>
    <w:p>
      <w:pPr>
        <w:pStyle w:val="Heading1"/>
      </w:pPr>
      <w:r>
        <w:t xml:space="preserve">5. Methods</w:t>
      </w:r>
    </w:p>
    <w:p>
      <w:pPr>
        <w:pStyle w:val="FirstParagraph"/>
        <w:jc w:val="both"/>
      </w:pPr>
      <w:r>
        <w:t xml:space="preserve">This study introduces no new conformal procedure. It audits an existing one —</w:t>
      </w:r>
      <w:r>
        <w:t xml:space="preserve"> </w:t>
      </w:r>
      <w:r>
        <w:t xml:space="preserve">hierarchical conformal prediction (HCP) [8] — on clinical ECG data, using three</w:t>
      </w:r>
      <w:r>
        <w:t xml:space="preserve"> </w:t>
      </w:r>
      <w:r>
        <w:t xml:space="preserve">diagnostics assembled from established results. We state the provenance of each</w:t>
      </w:r>
      <w:r>
        <w:t xml:space="preserve"> </w:t>
      </w:r>
      <w:r>
        <w:t xml:space="preserve">diagnostic where it is introduced, so that the reader can separate the tools we</w:t>
      </w:r>
      <w:r>
        <w:t xml:space="preserve"> </w:t>
      </w:r>
      <w:r>
        <w:t xml:space="preserve">borrow from the findings we report in §8.</w:t>
      </w:r>
    </w:p>
    <w:p>
      <w:pPr>
        <w:pStyle w:val="BodyText"/>
        <w:jc w:val="both"/>
      </w:pPr>
      <w:r>
        <w:t xml:space="preserve">Throughout,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denotes the number of calibration blocks,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number of</w:t>
      </w:r>
      <w:r>
        <w:t xml:space="preserve"> </w:t>
      </w:r>
      <w:r>
        <w:t xml:space="preserve">observations in block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harmonic mean of the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intraclass correlation of the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at threshold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not of the raw score.</w:t>
      </w:r>
    </w:p>
    <w:bookmarkStart w:id="27" w:name="X19d174b7dd8885c97c8015fa73b4f6a91b5078d"/>
    <w:p>
      <w:pPr>
        <w:pStyle w:val="Heading2"/>
      </w:pPr>
      <w:r>
        <w:t xml:space="preserve">5.1 Whether a finite threshold exists, and how precise it is</w:t>
      </w:r>
    </w:p>
    <w:bookmarkStart w:id="23" w:name="X6a4b6b3faa779bc7a446fea215c499cb0cc96f8"/>
    <w:p>
      <w:pPr>
        <w:pStyle w:val="Heading3"/>
      </w:pPr>
      <w:r>
        <w:t xml:space="preserve">5.1.1 Existence depends on the number of calibration blocks alone</w:t>
      </w:r>
    </w:p>
    <w:p>
      <w:pPr>
        <w:pStyle w:val="FirstParagraph"/>
      </w:pPr>
      <w:r>
        <w:rPr>
          <w:b/>
          <w:bCs/>
        </w:rPr>
        <w:t xml:space="preserve">Proposition 1.</w:t>
      </w:r>
      <w:r>
        <w:t xml:space="preserve"> </w:t>
      </w:r>
      <w:r>
        <w:rPr>
          <w:i/>
          <w:iCs/>
        </w:rPr>
        <w:t xml:space="preserve">The HCP threshold satisfies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if and only if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i/>
          <w:iCs/>
        </w:rPr>
        <w:t xml:space="preserve">.</w:t>
      </w:r>
    </w:p>
    <w:p>
      <w:pPr>
        <w:pStyle w:val="BodyText"/>
        <w:jc w:val="both"/>
      </w:pPr>
      <w:r>
        <w:t xml:space="preserve">This is an immediate consequence of the location of the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atom in</w:t>
      </w:r>
      <w:r>
        <w:t xml:space="preserve"> </w:t>
      </w:r>
      <w:r>
        <w:t xml:space="preserve">Theorem 1 of [8], and we claim nothing beyond restating it in a form that can be</w:t>
      </w:r>
      <w:r>
        <w:t xml:space="preserve"> </w:t>
      </w:r>
      <w:r>
        <w:t xml:space="preserve">checked from metadata. Two consequences matter for the audit. First, the boundary</w:t>
      </w:r>
      <w:r>
        <w:t xml:space="preserve"> </w:t>
      </w:r>
      <w:r>
        <w:t xml:space="preserve">does not involve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: adding observations to existing blocks cannot make an</w:t>
      </w:r>
      <w:r>
        <w:t xml:space="preserve"> </w:t>
      </w:r>
      <w:r>
        <w:t xml:space="preserve">infeasible level feasible. Second, with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 reduces to the</w:t>
      </w:r>
      <w:r>
        <w:t xml:space="preserve"> </w:t>
      </w:r>
      <w:r>
        <w:t xml:space="preserve">familiar split-conformal requirement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rPr>
            <m:sty m:val="p"/>
          </m:rPr>
          <m:t>⌈</m:t>
        </m:r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jc w:val="both"/>
      </w:pPr>
      <w:r>
        <w:t xml:space="preserve">The inequality is not strict. At exactly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the</w:t>
      </w:r>
      <w:r>
        <w:t xml:space="preserve"> </w:t>
      </w:r>
      <w:r>
        <w:t xml:space="preserve">threshold remains finite. An off-by-one here silently misreports feasibility for</w:t>
      </w:r>
      <w:r>
        <w:t xml:space="preserve"> </w:t>
      </w:r>
      <w:r>
        <w:t xml:space="preserve">every grouping whose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sits on the boundary.</w:t>
      </w:r>
    </w:p>
    <w:bookmarkEnd w:id="23"/>
    <w:bookmarkStart w:id="24" w:name="X398c41a3c724c9e4f6e1f582e1187153082b854"/>
    <w:p>
      <w:pPr>
        <w:pStyle w:val="Heading3"/>
      </w:pPr>
      <w:r>
        <w:t xml:space="preserve">5.1.2 Precision under a compound-symmetric model</w:t>
      </w:r>
    </w:p>
    <w:p>
      <w:pPr>
        <w:pStyle w:val="FirstParagraph"/>
        <w:jc w:val="both"/>
      </w:pPr>
      <w:r>
        <w:t xml:space="preserve">What follows is not distribution-free. It requires Assumption (A): blocks</w:t>
      </w:r>
      <w:r>
        <w:t xml:space="preserve"> </w:t>
      </w:r>
      <w:r>
        <w:t xml:space="preserve">are independent and identically distributed, and within a block every pair of</w:t>
      </w:r>
      <w:r>
        <w:t xml:space="preserve"> </w:t>
      </w:r>
      <w:r>
        <w:t xml:space="preserve">indicators has the same correlation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not depending on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(compound symmetry).</w:t>
      </w:r>
    </w:p>
    <w:p>
      <w:pPr>
        <w:pStyle w:val="BodyText"/>
        <w:jc w:val="both"/>
      </w:pPr>
      <w:r>
        <w:t xml:space="preserve">Rewriting the HCP threshold shows that it is determined by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F</m:t>
                    </m:r>
                  </m:e>
                </m:acc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 unweighted mean of block-level</w:t>
      </w:r>
      <w:r>
        <w:t xml:space="preserve"> </w:t>
      </w:r>
      <w:r>
        <w:t xml:space="preserve">empirical CDFs. Under (A), the standard variance of an unweighted mean of cluster</w:t>
      </w:r>
      <w:r>
        <w:t xml:space="preserve"> </w:t>
      </w:r>
      <w:r>
        <w:t xml:space="preserve">means applies [30]: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t xml:space="preserve">Under (A) the variance tends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t>ρ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This floor</w:t>
      </w:r>
      <w:r>
        <w:t xml:space="preserve"> </w:t>
      </w:r>
      <w:r>
        <w:t xml:space="preserve">is a property of compound symmetry, not of clustered data in general. If</w:t>
      </w:r>
      <w:r>
        <w:t xml:space="preserve"> </w:t>
      </w:r>
      <w:r>
        <w:t xml:space="preserve">within-block correlation decays with separation — as plausibly holds for</w:t>
      </w:r>
      <w:r>
        <w:t xml:space="preserve"> </w:t>
      </w:r>
      <w:r>
        <w:t xml:space="preserve">consecutive beats within a long Holter record — the mean pairwise correlation can</w:t>
      </w:r>
      <w:r>
        <w:t xml:space="preserve"> </w:t>
      </w:r>
      <w:r>
        <w:t xml:space="preserve">shrink with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floor disappears. We make no claim outside (A).</w:t>
      </w:r>
    </w:p>
    <w:bookmarkEnd w:id="24"/>
    <w:bookmarkStart w:id="25" w:name="X99cecc21f7834c4751755f87ac2fe0cd7a6a4f3"/>
    <w:p>
      <w:pPr>
        <w:pStyle w:val="Heading3"/>
      </w:pPr>
      <w:r>
        <w:t xml:space="preserve">5.1.3 The equal weighting is imposed, not chosen</w:t>
      </w:r>
    </w:p>
    <w:p>
      <w:pPr>
        <w:pStyle w:val="FirstParagraph"/>
        <w:jc w:val="both"/>
      </w:pPr>
      <w:r>
        <w:t xml:space="preserve">The variance above belongs to the block-weighted estimator. The Kish effective</w:t>
      </w:r>
      <w:r>
        <w:t xml:space="preserve"> </w:t>
      </w:r>
      <w:r>
        <w:t xml:space="preserve">sample size describes a different, observation-weighted estimator, and the two</w:t>
      </w:r>
      <w:r>
        <w:t xml:space="preserve"> </w:t>
      </w:r>
      <w:r>
        <w:t xml:space="preserve">coincide only for uniform block sizes: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e>
            <m:sub>
              <m:r>
                <m:rPr>
                  <m:nor/>
                  <m:sty m:val="p"/>
                </m:rPr>
                <m:t>block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ρ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e>
            <m:sub>
              <m:r>
                <m:rPr>
                  <m:nor/>
                  <m:sty m:val="p"/>
                </m:rPr>
                <m:t>pooled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t xml:space="preserve">The second expression is the standard clustering design effect for unequal cluster</w:t>
      </w:r>
      <w:r>
        <w:t xml:space="preserve"> </w:t>
      </w:r>
      <w:r>
        <w:t xml:space="preserve">sizes, and comparing design effects under equal versus size weighting of cluster</w:t>
      </w:r>
      <w:r>
        <w:t xml:space="preserve"> </w:t>
      </w:r>
      <w:r>
        <w:t xml:space="preserve">means is established practice in cluster-randomised trials [31], [32]. We use both</w:t>
      </w:r>
      <w:r>
        <w:t xml:space="preserve"> </w:t>
      </w:r>
      <w:r>
        <w:t xml:space="preserve">formulas as given.</w:t>
      </w:r>
    </w:p>
    <w:p>
      <w:pPr>
        <w:pStyle w:val="BodyText"/>
        <w:jc w:val="both"/>
      </w:pPr>
      <w:r>
        <w:t xml:space="preserve">What differs in the conformal setting is not the formula but the freedom to choose.</w:t>
      </w:r>
      <w:r>
        <w:t xml:space="preserve"> </w:t>
      </w:r>
      <w:r>
        <w:t xml:space="preserve">In a cluster-randomised trial, equal weighting is an analyst’s choice and is known</w:t>
      </w:r>
      <w:r>
        <w:t xml:space="preserve"> </w:t>
      </w:r>
      <w:r>
        <w:t xml:space="preserve">to be inefficient under unequal cluster sizes; the standard remedy is</w:t>
      </w:r>
      <w:r>
        <w:t xml:space="preserve"> </w:t>
      </w:r>
      <w:r>
        <w:t xml:space="preserve">minimum-variance weighting [31], [32]. In HCP the</w:t>
      </w:r>
      <w:r>
        <w:t xml:space="preserve"> </w:t>
      </w:r>
      <w:r>
        <w:t xml:space="preserve">equal weighting follows from the structure of the threshold itself, and departing</w:t>
      </w:r>
      <w:r>
        <w:t xml:space="preserve"> </w:t>
      </w:r>
      <w:r>
        <w:t xml:space="preserve">from it can break the finite-sample guarantee rather than merely cost efficiency: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singleton blocks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, HCP places mass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on each</w:t>
      </w:r>
      <w:r>
        <w:t xml:space="preserve"> </w:t>
      </w:r>
      <w:r>
        <w:t xml:space="preserve">calibration score and on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 giving threshold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coverage</w:t>
      </w:r>
      <w:r>
        <w:t xml:space="preserve"> </w:t>
      </w:r>
      <w:r>
        <w:t xml:space="preserve">exactly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 Moving the mass to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while keeping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makes the threshold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 and for continuous exchangeable scores the</w:t>
      </w:r>
      <w:r>
        <w:t xml:space="preserve"> </w:t>
      </w:r>
      <w:r>
        <w:t xml:space="preserve">coverage becomes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 The practitioner is therefore held to the estimator that</w:t>
      </w:r>
      <w:r>
        <w:t xml:space="preserve"> </w:t>
      </w:r>
      <w:r>
        <w:t xml:space="preserve">cluster-sampling theory identifies as most affected by block imbalance, without</w:t>
      </w:r>
      <w:r>
        <w:t xml:space="preserve"> </w:t>
      </w:r>
      <w:r>
        <w:t xml:space="preserve">access to its usual remedy. We report this as an observation about the setting;</w:t>
      </w:r>
      <w:r>
        <w:t xml:space="preserve"> </w:t>
      </w:r>
      <w:r>
        <w:t xml:space="preserve">we do not prove that equal weights are the only valid choice.</w:t>
      </w:r>
    </w:p>
    <w:p>
      <w:pPr>
        <w:pStyle w:val="BodyText"/>
        <w:jc w:val="both"/>
      </w:pPr>
      <w:r>
        <w:t xml:space="preserve">On PTB-XL the two design effects differ by a factor of 15.7 at the recording</w:t>
      </w:r>
      <w:r>
        <w:t xml:space="preserve"> </w:t>
      </w:r>
      <w:r>
        <w:t xml:space="preserve">site level. On</w:t>
      </w:r>
      <w:r>
        <w:t xml:space="preserve"> </w:t>
      </w:r>
      <w:r>
        <w:rPr>
          <w:rStyle w:val="VerbatimChar"/>
        </w:rPr>
        <w:t xml:space="preserve">strat_fold</w:t>
      </w:r>
      <w:r>
        <w:t xml:space="preserve">, whose blocks are nearly uniform by construction, the</w:t>
      </w:r>
      <w:r>
        <w:t xml:space="preserve"> </w:t>
      </w:r>
      <w:r>
        <w:t xml:space="preserve">ratio is 1.000 — an internal check of the computation.</w:t>
      </w:r>
    </w:p>
    <w:bookmarkEnd w:id="25"/>
    <w:bookmarkStart w:id="26" w:name="the-axis-used-to-organise-results"/>
    <w:p>
      <w:pPr>
        <w:pStyle w:val="Heading3"/>
      </w:pPr>
      <w:r>
        <w:t xml:space="preserve">5.1.4 The axis used to organise results</w:t>
      </w:r>
    </w:p>
    <w:p>
      <w:pPr>
        <w:pStyle w:val="FirstParagraph"/>
        <w:jc w:val="both"/>
      </w:pPr>
      <w:r>
        <w:t xml:space="preserve">The audit in §8 needs an axis on which datasets with very different block geometry</w:t>
      </w:r>
      <w:r>
        <w:t xml:space="preserve"> </w:t>
      </w:r>
      <w:r>
        <w:t xml:space="preserve">can be compared. We use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e>
          <m:sub>
            <m:r>
              <m:rPr>
                <m:nor/>
                <m:sty m:val="p"/>
              </m:rPr>
              <m:t>block</m:t>
            </m:r>
          </m:sub>
        </m:sSub>
      </m:oMath>
      <w:r>
        <w:t xml:space="preserve"> </w:t>
      </w:r>
      <w:r>
        <w:t xml:space="preserve">evaluated with the</w:t>
      </w:r>
      <w:r>
        <w:t xml:space="preserve"> </w:t>
      </w:r>
      <w:r>
        <w:t xml:space="preserve">threshold-indicator ICC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Because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enters only through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ρ</m:t>
        </m:r>
      </m:oMath>
      <w:r>
        <w:t xml:space="preserve">, the</w:t>
      </w:r>
      <w:r>
        <w:t xml:space="preserve"> </w:t>
      </w:r>
      <w:r>
        <w:t xml:space="preserve">quantity predicts that dependence is harmless whenever blocks are near-singleton,</w:t>
      </w:r>
      <w:r>
        <w:t xml:space="preserve"> </w:t>
      </w:r>
      <w:r>
        <w:t xml:space="preserve">however strong the within-block correlation; raw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alone predicts the</w:t>
      </w:r>
      <w:r>
        <w:t xml:space="preserve"> </w:t>
      </w:r>
      <w:r>
        <w:t xml:space="preserve">opposite. We state this prediction here, before the results.</w:t>
      </w:r>
    </w:p>
    <w:p>
      <w:pPr>
        <w:pStyle w:val="BodyText"/>
        <w:jc w:val="both"/>
      </w:pPr>
      <w:r>
        <w:t xml:space="preserve">We use this quantity only as an ordering axis, not as a calibrated effective</w:t>
      </w:r>
      <w:r>
        <w:t xml:space="preserve"> </w:t>
      </w:r>
      <w:r>
        <w:t xml:space="preserve">sample size. Noonan [33] derives a closed-form effective sample size for</w:t>
      </w:r>
      <w:r>
        <w:t xml:space="preserve"> </w:t>
      </w:r>
      <w:r>
        <w:t xml:space="preserve">thresholds under clustering and shows that the correction currently used in the</w:t>
      </w:r>
      <w:r>
        <w:t xml:space="preserve"> </w:t>
      </w:r>
      <w:r>
        <w:t xml:space="preserve">conformal literature is the wrong quantity. Our axis shares its central ingredient</w:t>
      </w:r>
      <w:r>
        <w:t xml:space="preserve"> </w:t>
      </w:r>
      <w:r>
        <w:t xml:space="preserve">— the correlation of threshold indicators rather than of scores — but is a</w:t>
      </w:r>
      <w:r>
        <w:t xml:space="preserve"> </w:t>
      </w:r>
      <w:r>
        <w:t xml:space="preserve">heuristic under Assumption (A), and we defer to that work for the principled</w:t>
      </w:r>
      <w:r>
        <w:t xml:space="preserve"> </w:t>
      </w:r>
      <w:r>
        <w:t xml:space="preserve">quantity.</w:t>
      </w:r>
    </w:p>
    <w:bookmarkEnd w:id="26"/>
    <w:bookmarkEnd w:id="27"/>
    <w:bookmarkStart w:id="28" w:name="X2f6a8c7b9e0c620a0236c2ed533b64a13dca72a"/>
    <w:p>
      <w:pPr>
        <w:pStyle w:val="Heading2"/>
      </w:pPr>
      <w:r>
        <w:t xml:space="preserve">5.2 Which calibration groupings are admissible</w:t>
      </w:r>
    </w:p>
    <w:p>
      <w:pPr>
        <w:pStyle w:val="FirstParagraph"/>
        <w:jc w:val="both"/>
      </w:pPr>
      <w:r>
        <w:t xml:space="preserve">A practitioner choosing a calibration grouping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faces two requirements</w:t>
      </w:r>
      <w:r>
        <w:t xml:space="preserve"> </w:t>
      </w:r>
      <w:r>
        <w:t xml:space="preserve">(Table I).</w:t>
      </w:r>
    </w:p>
    <w:p>
      <w:pPr>
        <w:pStyle w:val="BodyText"/>
        <w:keepNext/>
        <w:spacing w:before="160"/>
        <w:jc w:val="center"/>
      </w:pPr>
      <w:r/>
      <w:r/>
      <m:oMath>
        <m:r>
          <m:t>g</m:t>
        </m:r>
      </m:oMath>
      <w:r/>
      <w:r>
        <w:rPr>
          <w:sz w:val="18"/>
        </w:rPr>
        <w:t>TABLE I</w:t>
      </w:r>
      <w:r>
        <w:br/>
      </w:r>
      <w:r>
        <w:rPr>
          <w:sz w:val="16"/>
        </w:rPr>
        <w:t>ADMISSIBILITY CONDITIONS FOR A CALIBRATION GROUPING 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S1 Feasibility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exact, from Proposition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S2 Sufficiency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every declared dependence source is nested within</w:t>
            </w:r>
            <w:r>
              <w:rPr>
                <w:sz w:val="17"/>
              </w:rP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exact, given the declaration</w:t>
            </w:r>
          </w:p>
        </w:tc>
      </w:tr>
    </w:tbl>
    <w:p>
      <w:pPr>
        <w:pStyle w:val="BodyText"/>
        <w:jc w:val="both"/>
      </w:pPr>
      <w:r>
        <w:t xml:space="preserve">S1 alone is insufficient: a grouping can admit a finite threshold while leaving</w:t>
      </w:r>
      <w:r>
        <w:t xml:space="preserve"> </w:t>
      </w:r>
      <w:r>
        <w:t xml:space="preserve">dependence unaccounted for across its blocks. S2 is only as complete as the list</w:t>
      </w:r>
      <w:r>
        <w:t xml:space="preserve"> </w:t>
      </w:r>
      <w:r>
        <w:t xml:space="preserve">of dependence sources supplied to it. It verifies nesting for declared sources;</w:t>
      </w:r>
      <w:r>
        <w:t xml:space="preserve"> </w:t>
      </w:r>
      <w:r>
        <w:t xml:space="preserve">an undeclared source passes vacuously. S2 is therefore a check on the consistency</w:t>
      </w:r>
      <w:r>
        <w:t xml:space="preserve"> </w:t>
      </w:r>
      <w:r>
        <w:t xml:space="preserve">of a stated assumption, not a test of it.</w:t>
      </w:r>
    </w:p>
    <w:p>
      <w:pPr>
        <w:pStyle w:val="BodyText"/>
        <w:jc w:val="both"/>
      </w:pPr>
      <w:r>
        <w:t xml:space="preserve">When declared sources are crossed rather than nested, the finest grouping</w:t>
      </w:r>
      <w:r>
        <w:t xml:space="preserve"> </w:t>
      </w:r>
      <w:r>
        <w:t xml:space="preserve">satisfying S2 for all of them is their join in the partition lattice — the</w:t>
      </w:r>
      <w:r>
        <w:t xml:space="preserve"> </w:t>
      </w:r>
      <w:r>
        <w:t xml:space="preserve">connected components of the graph that links two observations whenever they share</w:t>
      </w:r>
      <w:r>
        <w:t xml:space="preserve"> </w:t>
      </w:r>
      <w:r>
        <w:t xml:space="preserve">a block under any declared source. This is standard partition-lattice algebra, and</w:t>
      </w:r>
      <w:r>
        <w:t xml:space="preserve"> </w:t>
      </w:r>
      <w:r>
        <w:t xml:space="preserve">the observation that joining several individually fine groupings can collapse into</w:t>
      </w:r>
      <w:r>
        <w:t xml:space="preserve"> </w:t>
      </w:r>
      <w:r>
        <w:t xml:space="preserve">a giant component has been reported for leakage control [34]. Combined with</w:t>
      </w:r>
      <w:r>
        <w:t xml:space="preserve"> </w:t>
      </w:r>
      <w:r>
        <w:t xml:space="preserve">Proposition 1 it</w:t>
      </w:r>
      <w:r>
        <w:t xml:space="preserve"> </w:t>
      </w:r>
      <w:r>
        <w:t xml:space="preserve">yields a design-level bound that we use as a diagnostic:</w:t>
      </w:r>
    </w:p>
    <w:p>
      <w:pPr>
        <w:pStyle w:val="BodyText"/>
        <w:jc w:val="both"/>
      </w:pPr>
      <w:r>
        <w:rPr>
          <w:b/>
          <w:bCs/>
        </w:rPr>
        <w:t xml:space="preserve">Corollary (feasibility under crossed sources).</w:t>
      </w:r>
      <w: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r>
          <m:rPr>
            <m:sty m:val="p"/>
          </m:rPr>
          <m:t>⋯</m:t>
        </m:r>
        <m:r>
          <m:rPr>
            <m:sty m:val="p"/>
          </m:rPr>
          <m:t>∨</m:t>
        </m:r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⌈</m:t>
        </m:r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, no HCP</w:t>
      </w:r>
      <w:r>
        <w:rPr>
          <w:i/>
          <w:iCs/>
        </w:rPr>
        <w:t xml:space="preserve"> </w:t>
      </w:r>
      <w:r>
        <w:rPr>
          <w:i/>
          <w:iCs/>
        </w:rPr>
        <w:t xml:space="preserve">calibration provides a finite threshold at level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while respecting all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declared sources.</w:t>
      </w:r>
    </w:p>
    <w:p>
      <w:pPr>
        <w:pStyle w:val="BodyText"/>
        <w:jc w:val="both"/>
      </w:pPr>
      <w:r>
        <w:rPr>
          <w:b/>
          <w:bCs/>
        </w:rPr>
        <w:t xml:space="preserve">Scope.</w:t>
      </w:r>
      <w:r>
        <w:t xml:space="preserve"> </w:t>
      </w:r>
      <w:r>
        <w:t xml:space="preserve">This is stated for the HCP family only. The difference from the</w:t>
      </w:r>
      <w:r>
        <w:t xml:space="preserve"> </w:t>
      </w:r>
      <w:r>
        <w:t xml:space="preserve">leakage-control setting is one of kind rather than degree: there, a collapsed</w:t>
      </w:r>
      <w:r>
        <w:t xml:space="preserve"> </w:t>
      </w:r>
      <w:r>
        <w:t xml:space="preserve">join degrades a split (fewer folds, higher variance); here,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no finite threshold exists at all.</w:t>
      </w:r>
    </w:p>
    <w:p>
      <w:pPr>
        <w:pStyle w:val="BodyText"/>
        <w:jc w:val="both"/>
      </w:pPr>
      <w:r>
        <w:t xml:space="preserve">The bound depends on which sources are declared, and that choice cannot be</w:t>
      </w:r>
      <w:r>
        <w:t xml:space="preserve"> </w:t>
      </w:r>
      <w:r>
        <w:t xml:space="preserve">verified from data. We therefore report it as a function of the declared set and</w:t>
      </w:r>
      <w:r>
        <w:t xml:space="preserve"> </w:t>
      </w:r>
      <w:r>
        <w:t xml:space="preserve">never as a property of a dataset. On PTB-XL fold 9, declaring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retains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34</m:t>
        </m:r>
      </m:oMath>
      <w:r>
        <w:t xml:space="preserve"> </w:t>
      </w:r>
      <w:r>
        <w:t xml:space="preserve">and remains feasible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although 31 of those</w:t>
      </w:r>
      <w:r>
        <w:t xml:space="preserve"> </w:t>
      </w:r>
      <w:r>
        <w:t xml:space="preserve">34 blocks consist solely of records lacking nurse metadata (§8.1); adding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collapses the join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 declaring all four available sources yields a single</w:t>
      </w:r>
      <w:r>
        <w:t xml:space="preserve"> </w:t>
      </w:r>
      <w:r>
        <w:t xml:space="preserve">block.</w:t>
      </w:r>
      <w:r>
        <w:t xml:space="preserve"> </w:t>
      </w:r>
      <w:r>
        <w:t xml:space="preserve">Enumerating all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joins on fold 9 shows that every grouping satisfying S2</w:t>
      </w:r>
      <w:r>
        <w:t xml:space="preserve"> </w:t>
      </w:r>
      <w:r>
        <w:t xml:space="preserve">for all four sources has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under that declaration no grouping satisfies</w:t>
      </w:r>
      <w:r>
        <w:t xml:space="preserve"> </w:t>
      </w:r>
      <w:r>
        <w:t xml:space="preserve">S1 and S2 together at any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,</m:t>
        </m:r>
        <m:r>
          <m:t>0.20</m:t>
        </m:r>
        <m:r>
          <m:rPr>
            <m:sty m:val="p"/>
          </m:rPr>
          <m:t>}</m:t>
        </m:r>
      </m:oMath>
      <w:r>
        <w:t xml:space="preserve">.</w:t>
      </w:r>
    </w:p>
    <w:bookmarkEnd w:id="28"/>
    <w:bookmarkStart w:id="31" w:name="X061e8cbe518056becbb1e4c854110f791be5f3e"/>
    <w:p>
      <w:pPr>
        <w:pStyle w:val="Heading2"/>
      </w:pPr>
      <w:r>
        <w:t xml:space="preserve">5.3 Per-label feasibility on a label hierarchy</w:t>
      </w:r>
    </w:p>
    <w:bookmarkStart w:id="29" w:name="superset-coverage-reduces-exactly-to-hcp"/>
    <w:p>
      <w:pPr>
        <w:pStyle w:val="Heading3"/>
      </w:pPr>
      <w:r>
        <w:t xml:space="preserve">5.3.1 Superset coverage reduces exactly to HCP</w:t>
      </w:r>
    </w:p>
    <w:p>
      <w:pPr>
        <w:pStyle w:val="FirstParagraph"/>
        <w:jc w:val="both"/>
      </w:pPr>
      <w:r>
        <w:t xml:space="preserve">If the conformity score of a record is taken to be the maximum score over its true</w:t>
      </w:r>
      <w:r>
        <w:t xml:space="preserve"> </w:t>
      </w:r>
      <w:r>
        <w:t xml:space="preserve">labels, superset coverage is a marginal coverage statement about a scalar score,</w:t>
      </w:r>
      <w:r>
        <w:t xml:space="preserve"> </w:t>
      </w:r>
      <w:r>
        <w:t xml:space="preserve">and Theorem 1 of [8] applies verbatim. No new guarantee is obtained; we use</w:t>
      </w:r>
      <w:r>
        <w:t xml:space="preserve"> </w:t>
      </w:r>
      <w:r>
        <w:t xml:space="preserve">the construction because it is the operationally correct way to obtain a</w:t>
      </w:r>
      <w:r>
        <w:t xml:space="preserve"> </w:t>
      </w:r>
      <w:r>
        <w:t xml:space="preserve">superset-valid prediction set.</w:t>
      </w:r>
    </w:p>
    <w:bookmarkEnd w:id="29"/>
    <w:bookmarkStart w:id="30" w:name="X247756c12acb3b712aa935edc7f5d46325d673c"/>
    <w:p>
      <w:pPr>
        <w:pStyle w:val="Heading3"/>
      </w:pPr>
      <w:r>
        <w:t xml:space="preserve">5.3.2 Per-label guarantees are bounded by the number of blocks carrying the label</w:t>
      </w:r>
    </w:p>
    <w:p>
      <w:pPr>
        <w:pStyle w:val="FirstParagraph"/>
        <w:jc w:val="both"/>
      </w:pPr>
      <w:r>
        <w:t xml:space="preserve">That rare classes starve class-conditional calibration is well established for</w:t>
      </w:r>
      <w:r>
        <w:t xml:space="preserve"> </w:t>
      </w:r>
      <w:r>
        <w:t xml:space="preserve">exchangeable data [35]. Under hierarchical dependence the unit that</w:t>
      </w:r>
      <w:r>
        <w:t xml:space="preserve"> </w:t>
      </w:r>
      <w:r>
        <w:t xml:space="preserve">must be counted changes from observations to blocks.</w:t>
      </w:r>
    </w:p>
    <w:p>
      <w:pPr>
        <w:pStyle w:val="BodyText"/>
        <w:jc w:val="both"/>
      </w:pPr>
      <w:r>
        <w:rPr>
          <w:b/>
          <w:bCs/>
        </w:rPr>
        <w:t xml:space="preserve">Proposition 4 (necessary condition).</w:t>
      </w:r>
      <w:r>
        <w:t xml:space="preserve"> </w:t>
      </w:r>
      <w:r>
        <w:rPr>
          <w:i/>
          <w:iCs/>
        </w:rPr>
        <w:t xml:space="preserve">A finite per-label HCP threshold for</w:t>
      </w:r>
      <w:r>
        <w:rPr>
          <w:i/>
          <w:iCs/>
        </w:rPr>
        <w:t xml:space="preserve"> </w:t>
      </w:r>
      <w:r>
        <w:rPr>
          <w:i/>
          <w:iCs/>
        </w:rPr>
        <w:t xml:space="preserve">label</w:t>
      </w:r>
      <w:r>
        <w:rPr>
          <w:i/>
          <w:iCs/>
        </w:rPr>
        <w:t xml:space="preserve"> </w:t>
      </w:r>
      <m:oMath>
        <m:r>
          <m:t>ℓ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 level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requires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ℓ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number of calibration blocks containing at least one instance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r>
          <m:t>ℓ</m:t>
        </m:r>
      </m:oMath>
      <w:r>
        <w:rPr>
          <w:i/>
          <w:iCs/>
        </w:rPr>
        <w:t xml:space="preserve">.</w:t>
      </w:r>
    </w:p>
    <w:p>
      <w:pPr>
        <w:pStyle w:val="BodyText"/>
        <w:jc w:val="both"/>
      </w:pPr>
      <w:r>
        <w:t xml:space="preserve">The condition is necessary, not sufficient. Conditioning a test observation on</w:t>
      </w:r>
      <w:r>
        <w:t xml:space="preserve"> </w:t>
      </w:r>
      <w:r>
        <w:t xml:space="preserve">carrying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selects its block with probability proportional to the fraction of</w:t>
      </w:r>
      <w:r>
        <w:t xml:space="preserve"> </w:t>
      </w:r>
      <m:oMath>
        <m:r>
          <m:t>ℓ</m:t>
        </m:r>
      </m:oMath>
      <w:r>
        <w:t xml:space="preserve">-positive observations in that block, whereas a block enters the calibration</w:t>
      </w:r>
      <w:r>
        <w:t xml:space="preserve"> </w:t>
      </w:r>
      <w:r>
        <w:t xml:space="preserve">stratum merely by containing one. Unless that fraction is constant across blocks,</w:t>
      </w:r>
      <w:r>
        <w:t xml:space="preserve"> </w:t>
      </w:r>
      <w:r>
        <w:t xml:space="preserve">test and calibration blocks are not exchangeable, and the rank argument does not</w:t>
      </w:r>
      <w:r>
        <w:t xml:space="preserve"> </w:t>
      </w:r>
      <w:r>
        <w:t xml:space="preserve">deliver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∈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∣</m:t>
        </m:r>
        <m:r>
          <m:t>ℓ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 The same size-biased</w:t>
      </w:r>
      <w:r>
        <w:t xml:space="preserve"> </w:t>
      </w:r>
      <w:r>
        <w:t xml:space="preserve">selection appears in the analysis of thresholds under clustering [33]. We</w:t>
      </w:r>
      <w:r>
        <w:t xml:space="preserve"> </w:t>
      </w:r>
      <w:r>
        <w:t xml:space="preserve">therefore use Proposition 4 only to rule out guarantees, never to certify them.</w:t>
      </w:r>
    </w:p>
    <w:p>
      <w:pPr>
        <w:pStyle w:val="BodyText"/>
        <w:jc w:val="both"/>
      </w:pPr>
      <w:r>
        <w:t xml:space="preserve">Because every block containing a label contains its ancestors,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monotone</w:t>
      </w:r>
      <w:r>
        <w:t xml:space="preserve"> </w:t>
      </w:r>
      <w:r>
        <w:t xml:space="preserve">toward the root of the hierarchy, so the necessary condition fails along a frontier</w:t>
      </w:r>
      <w:r>
        <w:t xml:space="preserve"> </w:t>
      </w:r>
      <w:r>
        <w:t xml:space="preserve">in the taxonomy that can be mapped from metadata before any model is trained.</w:t>
      </w:r>
      <w:r>
        <w:t xml:space="preserve"> </w:t>
      </w:r>
      <w:r>
        <w:t xml:space="preserve">Controlling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labels jointly by a union bound raises the requirement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⌈</m:t>
        </m:r>
        <m:r>
          <m:t>m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ℓ</m:t>
        </m:r>
      </m:oMath>
      <w:r>
        <w:t xml:space="preserve">.</w:t>
      </w:r>
    </w:p>
    <w:bookmarkEnd w:id="30"/>
    <w:bookmarkEnd w:id="31"/>
    <w:bookmarkStart w:id="35" w:name="audit-protocol"/>
    <w:p>
      <w:pPr>
        <w:pStyle w:val="Heading2"/>
      </w:pPr>
      <w:r>
        <w:t xml:space="preserve">5.4 Audit protocol</w:t>
      </w:r>
    </w:p>
    <w:p>
      <w:pPr>
        <w:pStyle w:val="FirstParagraph"/>
        <w:jc w:val="both"/>
      </w:pPr>
      <w:r>
        <w:t xml:space="preserve">Fig. 1 summarises the protocol. All three diagnostics are computed from metadata</w:t>
      </w:r>
      <w:r>
        <w:t xml:space="preserve"> </w:t>
      </w:r>
      <w:r>
        <w:t xml:space="preserve">alone, before training. The</w:t>
      </w:r>
      <w:r>
        <w:t xml:space="preserve"> </w:t>
      </w:r>
      <w:r>
        <w:t xml:space="preserve">empirical audit in §8 then measures coverage and prediction-set size of naive split</w:t>
      </w:r>
      <w:r>
        <w:t xml:space="preserve"> </w:t>
      </w:r>
      <w:r>
        <w:t xml:space="preserve">conformal (B1) and HCP (B12) on held-out blocks, over 200 random block-level</w:t>
      </w:r>
      <w:r>
        <w:t xml:space="preserve"> </w:t>
      </w:r>
      <w:r>
        <w:t xml:space="preserve">splits per configuration. To rule out the objection that calibration behaviour is</w:t>
      </w:r>
      <w:r>
        <w:t xml:space="preserve"> </w:t>
      </w:r>
      <w:r>
        <w:t xml:space="preserve">an artefact of a weak model, every audit is repeated on three backbones spanning a</w:t>
      </w:r>
      <w:r>
        <w:t xml:space="preserve"> </w:t>
      </w:r>
      <w:r>
        <w:t xml:space="preserve">more than hundredfold range of capacity (0.10 M, 7.2 M and 16.0 M parameters).</w:t>
      </w:r>
      <w:r>
        <w:t xml:space="preserve"> </w:t>
      </w:r>
      <w:r>
        <w:t xml:space="preserve">Diagnostics computed from metadata —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join structure —</w:t>
      </w:r>
      <w:r>
        <w:t xml:space="preserve"> </w:t>
      </w:r>
      <w:r>
        <w:t xml:space="preserve">must be identical across backbones, and we report them per backbone as a negative</w:t>
      </w:r>
      <w:r>
        <w:t xml:space="preserve"> </w:t>
      </w:r>
      <w:r>
        <w:t xml:space="preserve">control on the pipeline. PTB-XL fold 10 is never used.</w:t>
      </w:r>
    </w:p>
    <w:p>
      <w:pPr>
        <w:pStyle w:val="CaptionedFigure"/>
        <w:jc w:val="both"/>
      </w:pPr>
      <w:r>
        <w:drawing>
          <wp:inline>
            <wp:extent cx="5334000" cy="1397151"/>
            <wp:effectExtent b="0" l="0" r="0" t="0"/>
            <wp:docPr descr="Fig. 1. Audit protocol. The first four steps use metadata only and return exact verdicts before any patient is enrolled or any model trained; the last two require conformity scores from a trained model." title="" id="33" name="Picture"/>
            <a:graphic>
              <a:graphicData uri="http://schemas.openxmlformats.org/drawingml/2006/picture">
                <pic:pic>
                  <pic:nvPicPr>
                    <pic:cNvPr descr="figures/fig1_audit_workflo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Fig. 1. Audit protocol. The first four steps use metadata only and return exact verdicts before any patient is enrolled or any model trained; the last two require conformity scores from a trained model.</w:t>
      </w:r>
    </w:p>
    <w:bookmarkEnd w:id="35"/>
    <w:bookmarkEnd w:id="36"/>
    <w:bookmarkStart w:id="41" w:name="datasets"/>
    <w:p>
      <w:pPr>
        <w:pStyle w:val="Heading1"/>
      </w:pPr>
      <w:r>
        <w:t xml:space="preserve">6. Datasets</w:t>
      </w:r>
    </w:p>
    <w:p>
      <w:pPr>
        <w:pStyle w:val="FirstParagraph"/>
        <w:jc w:val="both"/>
      </w:pPr>
      <w:r>
        <w:t xml:space="preserve">Throughout this section we distinguish statements about</w:t>
      </w:r>
      <w:r>
        <w:t xml:space="preserve"> </w:t>
      </w:r>
      <w:r>
        <w:rPr>
          <w:i/>
          <w:iCs/>
        </w:rPr>
        <w:t xml:space="preserve">what is documented</w:t>
      </w:r>
      <w:r>
        <w:t xml:space="preserve"> </w:t>
      </w:r>
      <w:r>
        <w:t xml:space="preserve">for</w:t>
      </w:r>
      <w:r>
        <w:t xml:space="preserve"> </w:t>
      </w:r>
      <w:r>
        <w:t xml:space="preserve">a dataset from statements about</w:t>
      </w:r>
      <w:r>
        <w:t xml:space="preserve"> </w:t>
      </w:r>
      <w:r>
        <w:rPr>
          <w:i/>
          <w:iCs/>
        </w:rPr>
        <w:t xml:space="preserve">what is observed</w:t>
      </w:r>
      <w:r>
        <w:t xml:space="preserve"> </w:t>
      </w:r>
      <w:r>
        <w:t xml:space="preserve">in the data. The distinction</w:t>
      </w:r>
      <w:r>
        <w:t xml:space="preserve"> </w:t>
      </w:r>
      <w:r>
        <w:t xml:space="preserve">matters most where the two diverge (§6.4).</w:t>
      </w:r>
    </w:p>
    <w:bookmarkStart w:id="37" w:name="selection-rationale"/>
    <w:p>
      <w:pPr>
        <w:pStyle w:val="Heading2"/>
      </w:pPr>
      <w:r>
        <w:t xml:space="preserve">6.1 Selection rationale</w:t>
      </w:r>
    </w:p>
    <w:p>
      <w:pPr>
        <w:pStyle w:val="FirstParagraph"/>
        <w:jc w:val="both"/>
      </w:pPr>
      <w:r>
        <w:t xml:space="preserve">The three datasets serve logically distinct roles (Table II); they are not</w:t>
      </w:r>
      <w:r>
        <w:t xml:space="preserve"> </w:t>
      </w:r>
      <w:r>
        <w:t xml:space="preserve">replications intended to corroborate one another.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II</w:t>
      </w:r>
      <w:r>
        <w:br/>
      </w:r>
      <w:r>
        <w:rPr>
          <w:sz w:val="16"/>
        </w:rPr>
        <w:t>ROLES OF THE THREE DATASETS.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Block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PTB-XL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Primary case: patient-level dependence, multi-label targets, label hierarchy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Documented (patient_id)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MIT-BIH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Strong-dependence end of the design-effect axis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Documented (record = subject)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Challenge 2021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Case study at the limit of observability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 documented</w:t>
            </w:r>
          </w:p>
        </w:tc>
      </w:tr>
    </w:tbl>
    <w:p>
      <w:pPr>
        <w:pStyle w:val="BodyText"/>
        <w:jc w:val="both"/>
      </w:pPr>
      <w:r>
        <w:t xml:space="preserve">The first two datasets occupy opposite corners of the space of block geometries.</w:t>
      </w:r>
      <w:r>
        <w:t xml:space="preserve"> </w:t>
      </w:r>
      <w:r>
        <w:t xml:space="preserve">A single dataset, however large, cannot separate a theory that depends on the</w:t>
      </w:r>
      <w:r>
        <w:t xml:space="preserve"> </w:t>
      </w:r>
      <w:r>
        <w:t xml:space="preserve">number of blocks from one that depends on the number of measurements per block,</w:t>
      </w:r>
      <w:r>
        <w:t xml:space="preserve"> </w:t>
      </w:r>
      <w:r>
        <w:t xml:space="preserve">because the two quantities are fixed within it (Table III).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III</w:t>
      </w:r>
      <w:r>
        <w:br/>
      </w:r>
      <w:r>
        <w:rPr>
          <w:sz w:val="16"/>
        </w:rPr>
        <w:t>BLOCK GEOMETRY OF THE TWO PRIMARY DATASETS.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PTB-XL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MIT-BIH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Block unit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patient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record (subject)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Calibration blocks</w:t>
            </w:r>
            <w:r>
              <w:rPr>
                <w:sz w:val="17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958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Harmonic mean block size</w:t>
            </w:r>
            <w:r>
              <w:rPr>
                <w:sz w:val="17"/>
              </w:rP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1,355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Design effect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703.93</w:t>
            </w:r>
          </w:p>
        </w:tc>
      </w:tr>
    </w:tbl>
    <w:p>
      <w:pPr>
        <w:pStyle w:val="BodyText"/>
        <w:jc w:val="both"/>
      </w:pPr>
      <w:r>
        <w:t xml:space="preserve">Two quantities in this table are not properties of the datasets.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the split design: 958 is half of the 1,917 patients in our fold-9 evaluation</w:t>
      </w:r>
      <w:r>
        <w:t xml:space="preserve"> </w:t>
      </w:r>
      <w:r>
        <w:t xml:space="preserve">subset, and another design would give another value. The design effect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ρ</m:t>
        </m:r>
      </m:oMath>
      <w:r>
        <w:t xml:space="preserve"> </w:t>
      </w:r>
      <w:r>
        <w:t xml:space="preserve">depends on the model, because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the ICC of</w:t>
      </w:r>
      <w:r>
        <w:t xml:space="preserve"> </w:t>
      </w:r>
      <w:r>
        <w:t xml:space="preserve">conformity scores produced by a particular backbone. Only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purely</w:t>
      </w:r>
      <w:r>
        <w:t xml:space="preserve"> </w:t>
      </w:r>
      <w:r>
        <w:t xml:space="preserve">structural. The design effect should therefore not be quoted as a characteristic</w:t>
      </w:r>
      <w:r>
        <w:t xml:space="preserve"> </w:t>
      </w:r>
      <w:r>
        <w:t xml:space="preserve">of either dataset.</w:t>
      </w:r>
    </w:p>
    <w:p>
      <w:pPr>
        <w:pStyle w:val="BodyText"/>
        <w:jc w:val="both"/>
      </w:pPr>
      <w:r>
        <w:t xml:space="preserve">Challenge 2021 is not used to support any claim of generality. Its role is</w:t>
      </w:r>
      <w:r>
        <w:t xml:space="preserve"> </w:t>
      </w:r>
      <w:r>
        <w:t xml:space="preserve">narrow: to provide a case in which the diagnostic returns a verdict</w:t>
      </w:r>
      <w:r>
        <w:t xml:space="preserve"> </w:t>
      </w:r>
      <w:r>
        <w:rPr>
          <w:i/>
          <w:iCs/>
        </w:rPr>
        <w:t xml:space="preserve">other than</w:t>
      </w:r>
      <w:r>
        <w:t xml:space="preserve"> </w:t>
      </w:r>
      <w:r>
        <w:t xml:space="preserve">“admissible”</w:t>
      </w:r>
      <w:r>
        <w:t xml:space="preserve">. A diagnostic that has only ever returned</w:t>
      </w:r>
      <w:r>
        <w:t xml:space="preserve"> </w:t>
      </w:r>
      <w:r>
        <w:t xml:space="preserve">“admissible”</w:t>
      </w:r>
      <w:r>
        <w:t xml:space="preserve"> </w:t>
      </w:r>
      <w:r>
        <w:t xml:space="preserve">has not</w:t>
      </w:r>
      <w:r>
        <w:t xml:space="preserve"> </w:t>
      </w:r>
      <w:r>
        <w:t xml:space="preserve">demonstrated that it discriminates.</w:t>
      </w:r>
    </w:p>
    <w:bookmarkEnd w:id="37"/>
    <w:bookmarkStart w:id="38" w:name="ptb-xl"/>
    <w:p>
      <w:pPr>
        <w:pStyle w:val="Heading2"/>
      </w:pPr>
      <w:r>
        <w:t xml:space="preserve">6.2 PTB-XL</w:t>
      </w:r>
    </w:p>
    <w:p>
      <w:pPr>
        <w:pStyle w:val="FirstParagraph"/>
        <w:jc w:val="both"/>
      </w:pPr>
      <w:r>
        <w:t xml:space="preserve">PTB-XL [18], [19] comprises 21,799 twelve-lead records from 18,869 patients, released</w:t>
      </w:r>
      <w:r>
        <w:t xml:space="preserve"> </w:t>
      </w:r>
      <w:r>
        <w:t xml:space="preserve">under a permissive licence with full metadata. We use the 100 Hz variant,</w:t>
      </w:r>
      <w:r>
        <w:t xml:space="preserve"> </w:t>
      </w:r>
      <w:r>
        <w:t xml:space="preserve">yielding 1,000 samples per 10-second record, band-pass filtered at 0.5–40 Hz.</w:t>
      </w:r>
    </w:p>
    <w:p>
      <w:pPr>
        <w:pStyle w:val="BodyText"/>
        <w:jc w:val="both"/>
      </w:pPr>
      <w:r>
        <w:rPr>
          <w:b/>
          <w:bCs/>
        </w:rPr>
        <w:t xml:space="preserve">Label structure.</w:t>
      </w:r>
      <w:r>
        <w:t xml:space="preserve"> </w:t>
      </w:r>
      <w:r>
        <w:t xml:space="preserve">Diagnostic statements map to five non-exclusive</w:t>
      </w:r>
      <w:r>
        <w:t xml:space="preserve"> </w:t>
      </w:r>
      <w:r>
        <w:t xml:space="preserve">superclasses: NORM (9,514), MI (5,469), STTC (5,235), CD (4,898), and HYP</w:t>
      </w:r>
      <w:r>
        <w:t xml:space="preserve"> </w:t>
      </w:r>
      <w:r>
        <w:t xml:space="preserve">(2,649). The 27,765 superclass labels across 21,799 records confirm genuine</w:t>
      </w:r>
      <w:r>
        <w:t xml:space="preserve"> </w:t>
      </w:r>
      <w:r>
        <w:t xml:space="preserve">multi-label structure, with 5,144 records carrying more than one superclass.</w:t>
      </w:r>
      <w:r>
        <w:t xml:space="preserve"> </w:t>
      </w:r>
      <w:r>
        <w:t xml:space="preserve">411 records (1.9%) carry no diagnostic superclass and are excluded from</w:t>
      </w:r>
      <w:r>
        <w:t xml:space="preserve"> </w:t>
      </w:r>
      <w:r>
        <w:t xml:space="preserve">evaluation rather than assigned a default class.</w:t>
      </w:r>
    </w:p>
    <w:p>
      <w:pPr>
        <w:pStyle w:val="BodyText"/>
        <w:jc w:val="both"/>
      </w:pPr>
      <w:r>
        <w:rPr>
          <w:b/>
          <w:bCs/>
        </w:rPr>
        <w:t xml:space="preserve">Block structure.</w:t>
      </w:r>
      <w:r>
        <w:t xml:space="preserve"> </w:t>
      </w:r>
      <w:r>
        <w:t xml:space="preserve">The dataset is only mildly clustered at the patient level:</w:t>
      </w:r>
      <w:r>
        <w:t xml:space="preserve"> </w:t>
      </w:r>
      <w:r>
        <w:t xml:space="preserve">mean 1.155 records per patient, maximum 10, with 88.8% of patients contributing</w:t>
      </w:r>
      <w:r>
        <w:t xml:space="preserve"> </w:t>
      </w:r>
      <w:r>
        <w:t xml:space="preserve">a single record. In total 5,041 records (23.1%) belong to multi-record</w:t>
      </w:r>
      <w:r>
        <w:t xml:space="preserve"> </w:t>
      </w:r>
      <w:r>
        <w:t xml:space="preserve">patients. This mildness is precisely what makes PTB-XL the low-dose end of the</w:t>
      </w:r>
      <w:r>
        <w:t xml:space="preserve"> </w:t>
      </w:r>
      <w:r>
        <w:t xml:space="preserve">design-effect axis.</w:t>
      </w:r>
    </w:p>
    <w:p>
      <w:pPr>
        <w:pStyle w:val="BodyText"/>
        <w:jc w:val="both"/>
      </w:pPr>
      <w:r>
        <w:rPr>
          <w:b/>
          <w:bCs/>
        </w:rPr>
        <w:t xml:space="preserve">Additional dependence sources.</w:t>
      </w:r>
      <w:r>
        <w:t xml:space="preserve"> </w:t>
      </w:r>
      <w:r>
        <w:t xml:space="preserve">Beyond patient identity, the metadata exposes</w:t>
      </w:r>
      <w:r>
        <w:t xml:space="preserve"> </w:t>
      </w:r>
      <w:r>
        <w:t xml:space="preserve">three further grouping variables: 51 recording sites (17 records missing),</w:t>
      </w:r>
      <w:r>
        <w:t xml:space="preserve"> </w:t>
      </w:r>
      <w:r>
        <w:t xml:space="preserve">12 nurses (1,473 missing), and 11 devices (complete). These are</w:t>
      </w:r>
      <w:r>
        <w:t xml:space="preserve"> </w:t>
      </w:r>
      <w:r>
        <w:rPr>
          <w:i/>
          <w:iCs/>
        </w:rPr>
        <w:t xml:space="preserve">crossed</w:t>
      </w:r>
      <w:r>
        <w:t xml:space="preserve"> </w:t>
      </w:r>
      <w:r>
        <w:t xml:space="preserve">rather than nested, which is the empirical basis for the impossibility</w:t>
      </w:r>
      <w:r>
        <w:t xml:space="preserve"> </w:t>
      </w:r>
      <w:r>
        <w:t xml:space="preserve">result of Section 5.2.</w:t>
      </w:r>
    </w:p>
    <w:p>
      <w:pPr>
        <w:pStyle w:val="BodyText"/>
        <w:jc w:val="both"/>
      </w:pPr>
      <w:r>
        <w:rPr>
          <w:b/>
          <w:bCs/>
        </w:rPr>
        <w:t xml:space="preserve">Official folds.</w:t>
      </w:r>
      <w:r>
        <w:t xml:space="preserve"> </w:t>
      </w:r>
      <w:r>
        <w:t xml:space="preserve">The published stratified 10-fold split is used unchanged:</w:t>
      </w:r>
      <w:r>
        <w:t xml:space="preserve"> </w:t>
      </w:r>
      <w:r>
        <w:t xml:space="preserve">17,418 records in folds 1–8, 2,183 in fold 9, and 2,198 in fold 10. No patient</w:t>
      </w:r>
      <w:r>
        <w:t xml:space="preserve"> </w:t>
      </w:r>
      <w:r>
        <w:t xml:space="preserve">crosses a fold boundary. Crucially, human validation differs sharply between</w:t>
      </w:r>
      <w:r>
        <w:t xml:space="preserve"> </w:t>
      </w:r>
      <w:r>
        <w:t xml:space="preserve">folds: 67.0% on average across folds 1–8 (range 64–68%), against 100% on</w:t>
      </w:r>
      <w:r>
        <w:t xml:space="preserve"> </w:t>
      </w:r>
      <w:r>
        <w:t xml:space="preserve">folds 9 and 10. All confirmatory analysis is therefore confined to folds 9–10;</w:t>
      </w:r>
      <w:r>
        <w:t xml:space="preserve"> </w:t>
      </w:r>
      <w:r>
        <w:t xml:space="preserve">fold 10 is reserved and has not been examined.</w:t>
      </w:r>
    </w:p>
    <w:p>
      <w:pPr>
        <w:pStyle w:val="BodyText"/>
        <w:jc w:val="both"/>
      </w:pPr>
      <w:r>
        <w:rPr>
          <w:b/>
          <w:bCs/>
        </w:rPr>
        <w:t xml:space="preserve">Demographics.</w:t>
      </w:r>
      <w:r>
        <w:t xml:space="preserve"> </w:t>
      </w:r>
      <w:r>
        <w:t xml:space="preserve">Age is complete for all records (median 62); sex is recorded</w:t>
      </w:r>
      <w:r>
        <w:t xml:space="preserve"> </w:t>
      </w:r>
      <w:r>
        <w:t xml:space="preserve">as 11,354 male and 10,445 female. Note that PTB-XL encodes ages above 89 as the</w:t>
      </w:r>
      <w:r>
        <w:t xml:space="preserve"> </w:t>
      </w:r>
      <w:r>
        <w:t xml:space="preserve">sentinel value 300, affecting 293 records — treating this as a numeric</w:t>
      </w:r>
      <w:r>
        <w:t xml:space="preserve"> </w:t>
      </w:r>
      <w:r>
        <w:t xml:space="preserve">age would corrupt any age-stratified analysis.</w:t>
      </w:r>
    </w:p>
    <w:bookmarkEnd w:id="38"/>
    <w:bookmarkStart w:id="39" w:name="mit-bih-arrhythmia-database"/>
    <w:p>
      <w:pPr>
        <w:pStyle w:val="Heading2"/>
      </w:pPr>
      <w:r>
        <w:t xml:space="preserve">6.3 MIT-BIH Arrhythmia Database</w:t>
      </w:r>
    </w:p>
    <w:p>
      <w:pPr>
        <w:pStyle w:val="FirstParagraph"/>
        <w:jc w:val="both"/>
      </w:pPr>
      <w:r>
        <w:t xml:space="preserve">The MIT-BIH Arrhythmia Database [36] contains 48 half-hour two-channel recordings at 360 Hz with</w:t>
      </w:r>
      <w:r>
        <w:t xml:space="preserve"> </w:t>
      </w:r>
      <w:r>
        <w:t xml:space="preserve">beat-by-beat cardiologist annotations. Following standard practice we exclude</w:t>
      </w:r>
      <w:r>
        <w:t xml:space="preserve"> </w:t>
      </w:r>
      <w:r>
        <w:t xml:space="preserve">the four paced records (102, 104, 107, 217), leaving 44.</w:t>
      </w:r>
    </w:p>
    <w:p>
      <w:pPr>
        <w:pStyle w:val="BodyText"/>
        <w:jc w:val="both"/>
      </w:pPr>
      <w:r>
        <w:rPr>
          <w:b/>
          <w:bCs/>
        </w:rPr>
        <w:t xml:space="preserve">Beat extraction.</w:t>
      </w:r>
      <w:r>
        <w:t xml:space="preserve"> </w:t>
      </w:r>
      <w:r>
        <w:t xml:space="preserve">Annotations are mapped to the five AAMI classes, yielding</w:t>
      </w:r>
      <w:r>
        <w:t xml:space="preserve"> </w:t>
      </w:r>
      <w:r>
        <w:t xml:space="preserve">100,733 beats. Of these, 40 lie within 128 samples of a recording boundary</w:t>
      </w:r>
      <w:r>
        <w:t xml:space="preserve"> </w:t>
      </w:r>
      <w:r>
        <w:t xml:space="preserve">and cannot yield a complete 256-sample (711 ms) window; they are dropped rather</w:t>
      </w:r>
      <w:r>
        <w:t xml:space="preserve"> </w:t>
      </w:r>
      <w:r>
        <w:t xml:space="preserve">than zero-padded, leaving 100,693 beats.</w:t>
      </w:r>
    </w:p>
    <w:p>
      <w:pPr>
        <w:pStyle w:val="BodyText"/>
        <w:jc w:val="both"/>
      </w:pPr>
      <w:r>
        <w:rPr>
          <w:b/>
          <w:bCs/>
        </w:rPr>
        <w:t xml:space="preserve">Channel selection.</w:t>
      </w:r>
      <w:r>
        <w:t xml:space="preserve"> </w:t>
      </w:r>
      <w:r>
        <w:t xml:space="preserve">The MLII lead is selected by name rather than by</w:t>
      </w:r>
      <w:r>
        <w:t xml:space="preserve"> </w:t>
      </w:r>
      <w:r>
        <w:t xml:space="preserve">index. Record 114 stores its channels in the order</w:t>
      </w:r>
      <w:r>
        <w:t xml:space="preserve"> </w:t>
      </w:r>
      <w:r>
        <w:rPr>
          <w:rStyle w:val="VerbatimChar"/>
        </w:rPr>
        <w:t xml:space="preserve">[V5, MLII]</w:t>
      </w:r>
      <w:r>
        <w:t xml:space="preserve">, so index-based</w:t>
      </w:r>
      <w:r>
        <w:t xml:space="preserve"> </w:t>
      </w:r>
      <w:r>
        <w:t xml:space="preserve">selection silently substitutes a different lead for that record, with no error</w:t>
      </w:r>
      <w:r>
        <w:t xml:space="preserve"> </w:t>
      </w:r>
      <w:r>
        <w:t xml:space="preserve">raised.</w:t>
      </w:r>
    </w:p>
    <w:p>
      <w:pPr>
        <w:pStyle w:val="BodyText"/>
        <w:jc w:val="both"/>
      </w:pPr>
      <w:r>
        <w:rPr>
          <w:b/>
          <w:bCs/>
        </w:rPr>
        <w:t xml:space="preserve">Class distribution.</w:t>
      </w:r>
      <w:r>
        <w:t xml:space="preserve"> </w:t>
      </w:r>
      <w:r>
        <w:t xml:space="preserve">N: 90,087 · S: 2,781 · V: 7,008 · F: 802 · Q: 15.</w:t>
      </w:r>
      <w:r>
        <w:t xml:space="preserve"> </w:t>
      </w:r>
      <w:r>
        <w:t xml:space="preserve">Class Q is degenerate and is reported as such throughout rather than being</w:t>
      </w:r>
      <w:r>
        <w:t xml:space="preserve"> </w:t>
      </w:r>
      <w:r>
        <w:t xml:space="preserve">merged away.</w:t>
      </w:r>
    </w:p>
    <w:p>
      <w:pPr>
        <w:pStyle w:val="BodyText"/>
        <w:jc w:val="both"/>
      </w:pPr>
      <w:r>
        <w:rPr>
          <w:b/>
          <w:bCs/>
        </w:rPr>
        <w:t xml:space="preserve">Inter-patient split.</w:t>
      </w:r>
      <w:r>
        <w:t xml:space="preserve"> </w:t>
      </w:r>
      <w:r>
        <w:t xml:space="preserve">We adopt the canonical DS1/DS2 partition (22 records</w:t>
      </w:r>
      <w:r>
        <w:t xml:space="preserve"> </w:t>
      </w:r>
      <w:r>
        <w:t xml:space="preserve">each; 51,000 and 49,693 beats respectively after boundary removal). Across the 44</w:t>
      </w:r>
      <w:r>
        <w:t xml:space="preserve"> </w:t>
      </w:r>
      <w:r>
        <w:t xml:space="preserve">retained records, sizes range from 1,517 to 3,361 beats with median 2,257 — three</w:t>
      </w:r>
      <w:r>
        <w:t xml:space="preserve"> </w:t>
      </w:r>
      <w:r>
        <w:t xml:space="preserve">orders of magnitude above PTB-XL’s block sizes, which is the property that places</w:t>
      </w:r>
      <w:r>
        <w:t xml:space="preserve"> </w:t>
      </w:r>
      <w:r>
        <w:t xml:space="preserve">MIT-BIH at the high-dose end of the axis.</w:t>
      </w:r>
    </w:p>
    <w:p>
      <w:pPr>
        <w:pStyle w:val="BodyText"/>
        <w:jc w:val="both"/>
      </w:pPr>
      <w:r>
        <w:rPr>
          <w:b/>
          <w:bCs/>
        </w:rPr>
        <w:t xml:space="preserve">Known limitation, retained rather than repaired.</w:t>
      </w:r>
      <w:r>
        <w:t xml:space="preserve"> </w:t>
      </w:r>
      <w:r>
        <w:t xml:space="preserve">Records 201 and 202 belong</w:t>
      </w:r>
      <w:r>
        <w:t xml:space="preserve"> </w:t>
      </w:r>
      <w:r>
        <w:t xml:space="preserve">to the same subject and fall on opposite sides of the canonical split. We keep</w:t>
      </w:r>
      <w:r>
        <w:t xml:space="preserve"> </w:t>
      </w:r>
      <w:r>
        <w:t xml:space="preserve">the standard partition for comparability with prior work and state the leak</w:t>
      </w:r>
      <w:r>
        <w:t xml:space="preserve"> </w:t>
      </w:r>
      <w:r>
        <w:t xml:space="preserve">explicitly.</w:t>
      </w:r>
    </w:p>
    <w:bookmarkEnd w:id="39"/>
    <w:bookmarkStart w:id="40" w:name="Xd46ce34465608c4b352733c086ebedbb1c7b921"/>
    <w:p>
      <w:pPr>
        <w:pStyle w:val="Heading2"/>
      </w:pPr>
      <w:r>
        <w:t xml:space="preserve">6.4 Challenge 2021 — an observability-limited case</w:t>
      </w:r>
    </w:p>
    <w:p>
      <w:pPr>
        <w:pStyle w:val="FirstParagraph"/>
        <w:jc w:val="both"/>
      </w:pPr>
      <w:r>
        <w:rPr>
          <w:b/>
          <w:bCs/>
        </w:rPr>
        <w:t xml:space="preserve">Structure.</w:t>
      </w:r>
      <w:r>
        <w:t xml:space="preserve"> </w:t>
      </w:r>
      <w:r>
        <w:t xml:space="preserve">The PhysioNet/CinC Challenge 2021 collection [37] spans seven</w:t>
      </w:r>
      <w:r>
        <w:t xml:space="preserve"> </w:t>
      </w:r>
      <w:r>
        <w:t xml:space="preserve">non-duplicate source folders containing 66,416 records:</w:t>
      </w:r>
      <w:r>
        <w:t xml:space="preserve"> </w:t>
      </w:r>
      <w:r>
        <w:rPr>
          <w:rStyle w:val="VerbatimChar"/>
        </w:rPr>
        <w:t xml:space="preserve">ningbo</w:t>
      </w:r>
      <w:r>
        <w:t xml:space="preserve"> </w:t>
      </w:r>
      <w:r>
        <w:t xml:space="preserve">34,905;</w:t>
      </w:r>
      <w:r>
        <w:t xml:space="preserve"> </w:t>
      </w:r>
      <w:r>
        <w:rPr>
          <w:rStyle w:val="VerbatimChar"/>
        </w:rPr>
        <w:t xml:space="preserve">georgia</w:t>
      </w:r>
      <w:r>
        <w:t xml:space="preserve"> </w:t>
      </w:r>
      <w:r>
        <w:t xml:space="preserve">10,344;</w:t>
      </w:r>
      <w:r>
        <w:t xml:space="preserve"> </w:t>
      </w:r>
      <w:r>
        <w:rPr>
          <w:rStyle w:val="VerbatimChar"/>
        </w:rPr>
        <w:t xml:space="preserve">chapman_shaoxing</w:t>
      </w:r>
      <w:r>
        <w:t xml:space="preserve"> </w:t>
      </w:r>
      <w:r>
        <w:t xml:space="preserve">10,247;</w:t>
      </w:r>
      <w:r>
        <w:t xml:space="preserve"> </w:t>
      </w:r>
      <w:r>
        <w:rPr>
          <w:rStyle w:val="VerbatimChar"/>
        </w:rPr>
        <w:t xml:space="preserve">cpsc_2018</w:t>
      </w:r>
      <w:r>
        <w:t xml:space="preserve"> </w:t>
      </w:r>
      <w:r>
        <w:t xml:space="preserve">6,877;</w:t>
      </w:r>
      <w:r>
        <w:t xml:space="preserve"> </w:t>
      </w:r>
      <w:r>
        <w:rPr>
          <w:rStyle w:val="VerbatimChar"/>
        </w:rPr>
        <w:t xml:space="preserve">cpsc_2018_extra</w:t>
      </w:r>
      <w:r>
        <w:t xml:space="preserve"> </w:t>
      </w:r>
      <w:r>
        <w:t xml:space="preserve">3,453;</w:t>
      </w:r>
      <w:r>
        <w:t xml:space="preserve"> </w:t>
      </w:r>
      <w:r>
        <w:rPr>
          <w:rStyle w:val="VerbatimChar"/>
        </w:rPr>
        <w:t xml:space="preserve">ptb</w:t>
      </w:r>
      <w:r>
        <w:t xml:space="preserve"> </w:t>
      </w:r>
      <w:r>
        <w:t xml:space="preserve">516;</w:t>
      </w:r>
      <w:r>
        <w:t xml:space="preserve"> </w:t>
      </w:r>
      <w:r>
        <w:rPr>
          <w:rStyle w:val="VerbatimChar"/>
        </w:rPr>
        <w:t xml:space="preserve">st_petersburg_incart</w:t>
      </w:r>
      <w:r>
        <w:t xml:space="preserve"> </w:t>
      </w:r>
      <w:r>
        <w:t xml:space="preserve">74. The</w:t>
      </w:r>
      <w:r>
        <w:t xml:space="preserve"> </w:t>
      </w:r>
      <w:r>
        <w:rPr>
          <w:rStyle w:val="VerbatimChar"/>
        </w:rPr>
        <w:t xml:space="preserve">ptb-xl</w:t>
      </w:r>
      <w:r>
        <w:t xml:space="preserve"> </w:t>
      </w:r>
      <w:r>
        <w:t xml:space="preserve">folder (21,837 records) is excluded as a duplicate of §6.2; the two totals sum to</w:t>
      </w:r>
      <w:r>
        <w:t xml:space="preserve"> </w:t>
      </w:r>
      <w:r>
        <w:t xml:space="preserve">the official 88,253.</w:t>
      </w:r>
    </w:p>
    <w:p>
      <w:pPr>
        <w:pStyle w:val="BodyText"/>
        <w:jc w:val="both"/>
      </w:pPr>
      <w:r>
        <w:rPr>
          <w:b/>
          <w:bCs/>
        </w:rPr>
        <w:t xml:space="preserve">Header fields.</w:t>
      </w:r>
      <w:r>
        <w:t xml:space="preserve"> </w:t>
      </w:r>
      <w:r>
        <w:t xml:space="preserve">In a sample of 42 headers drawn from all seven sources, the</w:t>
      </w:r>
      <w:r>
        <w:t xml:space="preserve"> </w:t>
      </w:r>
      <w:r>
        <w:t xml:space="preserve">fields present were</w:t>
      </w:r>
      <w:r>
        <w:t xml:space="preserve"> </w:t>
      </w:r>
      <w:r>
        <w:rPr>
          <w:rStyle w:val="VerbatimChar"/>
        </w:rPr>
        <w:t xml:space="preserve">#Age</w:t>
      </w:r>
      <w:r>
        <w:t xml:space="preserve">,</w:t>
      </w:r>
      <w:r>
        <w:t xml:space="preserve"> </w:t>
      </w:r>
      <w:r>
        <w:rPr>
          <w:rStyle w:val="VerbatimChar"/>
        </w:rPr>
        <w:t xml:space="preserve">#Sex</w:t>
      </w:r>
      <w:r>
        <w:t xml:space="preserve">,</w:t>
      </w:r>
      <w:r>
        <w:t xml:space="preserve"> </w:t>
      </w:r>
      <w:r>
        <w:rPr>
          <w:rStyle w:val="VerbatimChar"/>
        </w:rPr>
        <w:t xml:space="preserve">#Dx</w:t>
      </w:r>
      <w:r>
        <w:t xml:space="preserve">,</w:t>
      </w:r>
      <w:r>
        <w:t xml:space="preserve"> </w:t>
      </w:r>
      <w:r>
        <w:rPr>
          <w:rStyle w:val="VerbatimChar"/>
        </w:rPr>
        <w:t xml:space="preserve">#Rx</w:t>
      </w:r>
      <w:r>
        <w:t xml:space="preserve">,</w:t>
      </w:r>
      <w:r>
        <w:t xml:space="preserve"> </w:t>
      </w:r>
      <w:r>
        <w:rPr>
          <w:rStyle w:val="VerbatimChar"/>
        </w:rPr>
        <w:t xml:space="preserve">#Hx</w:t>
      </w:r>
      <w:r>
        <w:t xml:space="preserve">, and, in five of the seven</w:t>
      </w:r>
      <w:r>
        <w:t xml:space="preserve"> </w:t>
      </w:r>
      <w:r>
        <w:t xml:space="preserve">sources,</w:t>
      </w:r>
      <w:r>
        <w:t xml:space="preserve"> </w:t>
      </w:r>
      <w:r>
        <w:rPr>
          <w:rStyle w:val="VerbatimChar"/>
        </w:rPr>
        <w:t xml:space="preserve">#Sx</w:t>
      </w:r>
      <w:r>
        <w:t xml:space="preserve">. No field documented as a patient identifier was found. This is a</w:t>
      </w:r>
      <w:r>
        <w:t xml:space="preserve"> </w:t>
      </w:r>
      <w:r>
        <w:t xml:space="preserve">sample, not a census, and the header schema is demonstrably not uniform across</w:t>
      </w:r>
      <w:r>
        <w:t xml:space="preserve"> </w:t>
      </w:r>
      <w:r>
        <w:t xml:space="preserve">sources; we therefore claim only that no documented patient identifier appears in</w:t>
      </w:r>
      <w:r>
        <w:t xml:space="preserve"> </w:t>
      </w:r>
      <w:r>
        <w:t xml:space="preserve">a sample spanning every source.</w:t>
      </w:r>
    </w:p>
    <w:p>
      <w:pPr>
        <w:pStyle w:val="BodyText"/>
        <w:jc w:val="both"/>
      </w:pPr>
      <w:r>
        <w:rPr>
          <w:b/>
          <w:bCs/>
        </w:rPr>
        <w:t xml:space="preserve">Observability.</w:t>
      </w:r>
      <w:r>
        <w:t xml:space="preserve"> </w:t>
      </w:r>
      <w:r>
        <w:t xml:space="preserve">The patient partition is not observable from the documented</w:t>
      </w:r>
      <w:r>
        <w:t xml:space="preserve"> </w:t>
      </w:r>
      <w:r>
        <w:t xml:space="preserve">metadata: no substantive variable is documented to determine patient membership.</w:t>
      </w:r>
      <w:r>
        <w:t xml:space="preserve"> </w:t>
      </w:r>
      <w:r>
        <w:t xml:space="preserve">This is a statement about documentation, not a theorem; without patient labels it</w:t>
      </w:r>
      <w:r>
        <w:t xml:space="preserve"> </w:t>
      </w:r>
      <w:r>
        <w:t xml:space="preserve">cannot be checked whether the patient partition factors through the available</w:t>
      </w:r>
      <w:r>
        <w:t xml:space="preserve"> </w:t>
      </w:r>
      <w:r>
        <w:t xml:space="preserve">variables.</w:t>
      </w:r>
    </w:p>
    <w:p>
      <w:pPr>
        <w:pStyle w:val="BodyText"/>
        <w:jc w:val="both"/>
      </w:pPr>
      <w:r>
        <w:rPr>
          <w:b/>
          <w:bCs/>
        </w:rPr>
        <w:t xml:space="preserve">Repetition is documented while its identifier is not.</w:t>
      </w:r>
      <w:r>
        <w:t xml:space="preserve"> </w:t>
      </w:r>
      <w:r>
        <w:t xml:space="preserve">The official</w:t>
      </w:r>
      <w:r>
        <w:t xml:space="preserve"> </w:t>
      </w:r>
      <w:r>
        <w:t xml:space="preserve">documentation describes the INCART source as</w:t>
      </w:r>
      <w:r>
        <w:t xml:space="preserve"> </w:t>
      </w:r>
      <w:r>
        <w:rPr>
          <w:i/>
          <w:iCs/>
        </w:rPr>
        <w:t xml:space="preserve">“74 annotated ECGs … extracted</w:t>
      </w:r>
      <w:r>
        <w:rPr>
          <w:i/>
          <w:iCs/>
        </w:rPr>
        <w:t xml:space="preserve"> </w:t>
      </w:r>
      <w:r>
        <w:rPr>
          <w:i/>
          <w:iCs/>
        </w:rPr>
        <w:t xml:space="preserve">from 32 Holter monitor recordings.”</w:t>
      </w:r>
      <w:r>
        <w:t xml:space="preserve"> </w:t>
      </w:r>
      <w:r>
        <w:t xml:space="preserve">Multiple records may therefore originate</w:t>
      </w:r>
      <w:r>
        <w:t xml:space="preserve"> </w:t>
      </w:r>
      <w:r>
        <w:t xml:space="preserve">from the same monitoring episode, while the corresponding grouping identifier is</w:t>
      </w:r>
      <w:r>
        <w:t xml:space="preserve"> </w:t>
      </w:r>
      <w:r>
        <w:t xml:space="preserve">not distributed. What is documented is the monitoring episode, not patient</w:t>
      </w:r>
      <w:r>
        <w:t xml:space="preserve"> </w:t>
      </w:r>
      <w:r>
        <w:t xml:space="preserve">identity. The same holds for the excluded</w:t>
      </w:r>
      <w:r>
        <w:t xml:space="preserve"> </w:t>
      </w:r>
      <w:r>
        <w:rPr>
          <w:rStyle w:val="VerbatimChar"/>
        </w:rPr>
        <w:t xml:space="preserve">ptb-xl</w:t>
      </w:r>
      <w:r>
        <w:t xml:space="preserve"> </w:t>
      </w:r>
      <w:r>
        <w:t xml:space="preserve">folder, whose 21,837 records</w:t>
      </w:r>
      <w:r>
        <w:t xml:space="preserve"> </w:t>
      </w:r>
      <w:r>
        <w:t xml:space="preserve">derive from 18,869 patients in the original release. This closes the most</w:t>
      </w:r>
      <w:r>
        <w:t xml:space="preserve"> </w:t>
      </w:r>
      <w:r>
        <w:t xml:space="preserve">dangerous reading of an unobservable partition — that there is no dependence to</w:t>
      </w:r>
      <w:r>
        <w:t xml:space="preserve"> </w:t>
      </w:r>
      <w:r>
        <w:t xml:space="preserve">worry about. The documentation itself shows that the number of records exceeds</w:t>
      </w:r>
      <w:r>
        <w:t xml:space="preserve"> </w:t>
      </w:r>
      <w:r>
        <w:t xml:space="preserve">the number of independent units, while the identifier needed to form blocks is</w:t>
      </w:r>
      <w:r>
        <w:t xml:space="preserve"> </w:t>
      </w:r>
      <w:r>
        <w:t xml:space="preserve">absent.</w:t>
      </w:r>
    </w:p>
    <w:p>
      <w:pPr>
        <w:pStyle w:val="BodyText"/>
        <w:jc w:val="both"/>
      </w:pPr>
      <w:r>
        <w:rPr>
          <w:b/>
          <w:bCs/>
        </w:rPr>
        <w:t xml:space="preserve">Age censoring.</w:t>
      </w:r>
      <w:r>
        <w:t xml:space="preserve"> </w:t>
      </w:r>
      <w:r>
        <w:t xml:space="preserve">Censoring conventions for age differ across sources: CPSC</w:t>
      </w:r>
      <w:r>
        <w:t xml:space="preserve"> </w:t>
      </w:r>
      <w:r>
        <w:t xml:space="preserve">encodes ages above 89 as 92, and PTB-XL uses 300. Sentinel values are never</w:t>
      </w:r>
      <w:r>
        <w:t xml:space="preserve"> </w:t>
      </w:r>
      <w:r>
        <w:t xml:space="preserve">treated as literal ages. We define</w:t>
      </w:r>
      <w:r>
        <w:t xml:space="preserve"> </w:t>
      </w:r>
      <m:oMath>
        <m:r>
          <m:rPr>
            <m:nor/>
            <m:scr m:val="monospace"/>
            <m:sty m:val="p"/>
          </m:rPr>
          <m:t>age_censored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rPr>
            <m:nor/>
            <m:scr m:val="monospace"/>
            <m:sty m:val="p"/>
          </m:rPr>
          <m:t>age</m:t>
        </m:r>
        <m:r>
          <m:rPr>
            <m:sty m:val="p"/>
          </m:rPr>
          <m:t>&gt;</m:t>
        </m:r>
        <m:r>
          <m:t>89</m:t>
        </m:r>
        <m:r>
          <m:rPr>
            <m:sty m:val="p"/>
          </m:rPr>
          <m:t>}</m:t>
        </m:r>
      </m:oMath>
      <w:r>
        <w:t xml:space="preserve"> </w:t>
      </w:r>
      <w:r>
        <w:t xml:space="preserve">and use age only where</w:t>
      </w:r>
      <w:r>
        <w:t xml:space="preserve"> </w:t>
      </w:r>
      <m:oMath>
        <m:r>
          <m:rPr>
            <m:nor/>
            <m:scr m:val="monospace"/>
            <m:sty m:val="p"/>
          </m:rPr>
          <m:t>age</m:t>
        </m:r>
        <m:r>
          <m:rPr>
            <m:sty m:val="p"/>
          </m:rPr>
          <m:t>≤</m:t>
        </m:r>
        <m:r>
          <m:t>89</m:t>
        </m:r>
      </m:oMath>
      <w:r>
        <w:t xml:space="preserve">, with censored records forming a</w:t>
      </w:r>
      <w:r>
        <w:t xml:space="preserve"> </w:t>
      </w:r>
      <w:r>
        <w:t xml:space="preserve">separate category. Averaging 92 and 300 as numbers would corrupt any age-based</w:t>
      </w:r>
      <w:r>
        <w:t xml:space="preserve"> </w:t>
      </w:r>
      <w:r>
        <w:t xml:space="preserve">stratification.</w:t>
      </w:r>
    </w:p>
    <w:p>
      <w:pPr>
        <w:pStyle w:val="BodyText"/>
        <w:jc w:val="both"/>
      </w:pPr>
      <w:r>
        <w:rPr>
          <w:b/>
          <w:bCs/>
        </w:rPr>
        <w:t xml:space="preserve">Feasibility on the source partition.</w:t>
      </w:r>
      <w:r>
        <w:t xml:space="preserve"> </w:t>
      </w:r>
      <w:r>
        <w:t xml:space="preserve">The source partition has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.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for any calibration split, Proposition 1 gives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rPr>
                  <m:sty m:val="p"/>
                </m:rPr>
                <m:t>min</m:t>
              </m:r>
            </m:sub>
            <m:sup>
              <m:r>
                <m:rPr>
                  <m:nor/>
                  <m:sty m:val="p"/>
                </m:rPr>
                <m:t>source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0.125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t xml:space="preserve">If at least one source must be held out for testing,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and the bound</w:t>
      </w:r>
      <w:r>
        <w:t xml:space="preserve"> </w:t>
      </w:r>
      <w:r>
        <w:t xml:space="preserve">tightens to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0.143</m:t>
        </m:r>
      </m:oMath>
      <w:r>
        <w:t xml:space="preserve">. We report the looser bound because it</w:t>
      </w:r>
      <w:r>
        <w:t xml:space="preserve"> </w:t>
      </w:r>
      <w:r>
        <w:t xml:space="preserve">holds for every design. The bound concerns the source partition, not the</w:t>
      </w:r>
      <w:r>
        <w:t xml:space="preserve"> </w:t>
      </w:r>
      <w:r>
        <w:t xml:space="preserve">dataset: it does not imply that no finer observable partition is admissible.</w:t>
      </w:r>
    </w:p>
    <w:p>
      <w:pPr>
        <w:pStyle w:val="BodyText"/>
        <w:jc w:val="both"/>
      </w:pPr>
      <w:r>
        <w:rPr>
          <w:b/>
          <w:bCs/>
        </w:rPr>
        <w:t xml:space="preserve">Consequence of unobservability.</w:t>
      </w:r>
      <w:r>
        <w:t xml:space="preserve"> </w:t>
      </w:r>
      <w:r>
        <w:t xml:space="preserve">If the dependence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not observable, a guarantee that holds without knowing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requires a</w:t>
      </w:r>
      <w:r>
        <w:t xml:space="preserve"> </w:t>
      </w:r>
      <w:r>
        <w:t xml:space="preserve">calibration partition coarser than the join of every admissible candidate. If the</w:t>
      </w:r>
      <w:r>
        <w:t xml:space="preserve"> </w:t>
      </w:r>
      <w:r>
        <w:t xml:space="preserve">candidate class were unrestricted it would include the single-block partition,</w:t>
      </w:r>
      <w:r>
        <w:t xml:space="preserve"> </w:t>
      </w:r>
      <w:r>
        <w:t xml:space="preserve">yielding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 for this dataset that is absurd on domain grounds — it</w:t>
      </w:r>
      <w:r>
        <w:t xml:space="preserve"> </w:t>
      </w:r>
      <w:r>
        <w:t xml:space="preserve">would posit one patient contributing 66,416 ECGs across seven institutions — and</w:t>
      </w:r>
      <w:r>
        <w:t xml:space="preserve"> </w:t>
      </w:r>
      <w:r>
        <w:t xml:space="preserve">we do not apply it. The correct consequence is that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 patient</w:t>
      </w:r>
      <w:r>
        <w:t xml:space="preserve"> </w:t>
      </w:r>
      <w:r>
        <w:t xml:space="preserve">partition ceases to be a computable quantity and becomes an assumption about</w:t>
      </w:r>
      <w:r>
        <w:t xml:space="preserve"> </w:t>
      </w:r>
      <w:r>
        <w:t xml:space="preserve">the candidate class, which an author must state. We therefore report no single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for Challenge 2021.</w:t>
      </w:r>
    </w:p>
    <w:p>
      <w:pPr>
        <w:pStyle w:val="BodyText"/>
        <w:jc w:val="both"/>
      </w:pPr>
      <w:r>
        <w:rPr>
          <w:b/>
          <w:bCs/>
        </w:rPr>
        <w:t xml:space="preserve">A modelling prerequisite.</w:t>
      </w:r>
      <w:r>
        <w:t xml:space="preserve"> </w:t>
      </w:r>
      <w:r>
        <w:t xml:space="preserve">The sufficiency condition of §5.2 is defined only</w:t>
      </w:r>
      <w:r>
        <w:t xml:space="preserve"> </w:t>
      </w:r>
      <w:r>
        <w:t xml:space="preserve">under hierarchical exchangeability [8], i.e. when dependence is generated by a</w:t>
      </w:r>
      <w:r>
        <w:t xml:space="preserve"> </w:t>
      </w:r>
      <w:r>
        <w:t xml:space="preserve">latent block structure. If dependence within an institution were continuous —</w:t>
      </w:r>
      <w:r>
        <w:t xml:space="preserve"> </w:t>
      </w:r>
      <w:r>
        <w:t xml:space="preserve">for instance, similarity decaying with proximity of acquisition protocol — no</w:t>
      </w:r>
      <w:r>
        <w:t xml:space="preserve"> </w:t>
      </w:r>
      <w: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would exist, and sufficiency would be not merely</w:t>
      </w:r>
      <w:r>
        <w:t xml:space="preserve"> </w:t>
      </w:r>
      <w:r>
        <w:t xml:space="preserve">unobservable but ill-posed. The uncertainty is therefore layered: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unknown, and so is whether a model positing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applies.</w:t>
      </w:r>
    </w:p>
    <w:p>
      <w:pPr>
        <w:pStyle w:val="BodyText"/>
        <w:jc w:val="both"/>
      </w:pPr>
      <w:r>
        <w:rPr>
          <w:b/>
          <w:bCs/>
        </w:rPr>
        <w:t xml:space="preserve">What we do not claim.</w:t>
      </w:r>
      <w:r>
        <w:t xml:space="preserve"> </w:t>
      </w:r>
      <w:r>
        <w:t xml:space="preserve">We do not claim that Challenge 2021 cannot be used for</w:t>
      </w:r>
      <w:r>
        <w:t xml:space="preserve"> </w:t>
      </w:r>
      <w:r>
        <w:t xml:space="preserve">conformal prediction, nor that its records are independent, nor that its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0.125 (that bound applies to the source partition only), nor</w:t>
      </w:r>
      <w:r>
        <w:t xml:space="preserve"> </w:t>
      </w:r>
      <w:r>
        <w:t xml:space="preserve">that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applies, nor that none of the 66,416 records carries a</w:t>
      </w:r>
      <w:r>
        <w:t xml:space="preserve"> </w:t>
      </w:r>
      <w:r>
        <w:t xml:space="preserve">patient identifier (42 headers were inspected).</w:t>
      </w:r>
    </w:p>
    <w:p>
      <w:pPr>
        <w:pStyle w:val="BodyText"/>
        <w:jc w:val="both"/>
      </w:pPr>
      <w:r>
        <w:rPr>
          <w:b/>
          <w:bCs/>
        </w:rPr>
        <w:t xml:space="preserve">Cost of the verdict.</w:t>
      </w:r>
      <w:r>
        <w:t xml:space="preserve"> </w:t>
      </w:r>
      <w:r>
        <w:t xml:space="preserve">All checks above required roughly 0.5 MB of downloads</w:t>
      </w:r>
      <w:r>
        <w:t xml:space="preserve"> </w:t>
      </w:r>
      <w:r>
        <w:t xml:space="preserve">(70 index files and 42 headers) against a 12.6 GB dataset, and were completed</w:t>
      </w:r>
      <w:r>
        <w:t xml:space="preserve"> </w:t>
      </w:r>
      <w:r>
        <w:t xml:space="preserve">before any preprocessing or model training.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experimental-setup"/>
    <w:p>
      <w:pPr>
        <w:pStyle w:val="Heading1"/>
      </w:pPr>
      <w:r>
        <w:t xml:space="preserve">7. Experimental Setup</w:t>
      </w:r>
    </w:p>
    <w:bookmarkStart w:id="42" w:name="backbone"/>
    <w:p>
      <w:pPr>
        <w:pStyle w:val="Heading2"/>
      </w:pPr>
      <w:r>
        <w:t xml:space="preserve">7.1 Backbone</w:t>
      </w:r>
    </w:p>
    <w:p>
      <w:pPr>
        <w:pStyle w:val="FirstParagraph"/>
        <w:jc w:val="both"/>
      </w:pPr>
      <w:r>
        <w:t xml:space="preserve">Conformal guarantees are model-agnostic; the backbone affects the size of</w:t>
      </w:r>
      <w:r>
        <w:t xml:space="preserve"> </w:t>
      </w:r>
      <w:r>
        <w:t xml:space="preserve">prediction sets, not their validity. The primary backbone is therefore a</w:t>
      </w:r>
      <w:r>
        <w:t xml:space="preserve"> </w:t>
      </w:r>
      <w:r>
        <w:t xml:space="preserve">deliberately compact 1-D convolutional network (SmallECGNet) with 104,389</w:t>
      </w:r>
      <w:r>
        <w:t xml:space="preserve"> </w:t>
      </w:r>
      <w:r>
        <w:t xml:space="preserve">parameters for the 12-lead configuration and 101,925 for single-lead. To test</w:t>
      </w:r>
      <w:r>
        <w:t xml:space="preserve"> </w:t>
      </w:r>
      <w:r>
        <w:t xml:space="preserve">whether any finding depends on this choice, every audit is repeated with two 1-D</w:t>
      </w:r>
      <w:r>
        <w:t xml:space="preserve"> </w:t>
      </w:r>
      <w:r>
        <w:t xml:space="preserve">residual networks following the PTB-XL benchmark family [17]: ResNet1D-34</w:t>
      </w:r>
      <w:r>
        <w:t xml:space="preserve"> </w:t>
      </w:r>
      <w:r>
        <w:t xml:space="preserve">(7,225,733 / 7,220,805 parameters) and ResNet1D-50 (15,969,413 / 15,964,485).</w:t>
      </w:r>
      <w:r>
        <w:t xml:space="preserve"> </w:t>
      </w:r>
      <w:r>
        <w:t xml:space="preserve">The residual networks are trained with Adam (learning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early</w:t>
      </w:r>
      <w:r>
        <w:t xml:space="preserve"> </w:t>
      </w:r>
      <w:r>
        <w:t xml:space="preserve">stopping on validation loss with patience 5, and a maximum of 25 (PTB-XL) or 30</w:t>
      </w:r>
      <w:r>
        <w:t xml:space="preserve"> </w:t>
      </w:r>
      <w:r>
        <w:t xml:space="preserve">(MIT-BIH) epochs; SmallECGNet weights are reused from the primary study without</w:t>
      </w:r>
      <w:r>
        <w:t xml:space="preserve"> </w:t>
      </w:r>
      <w:r>
        <w:t xml:space="preserve">retraining.</w:t>
      </w:r>
    </w:p>
    <w:p>
      <w:pPr>
        <w:pStyle w:val="BodyText"/>
        <w:jc w:val="both"/>
      </w:pPr>
      <w:r>
        <w:t xml:space="preserve">The primary backbone reaches macro-AUROC 0.9016 on PTB-XL and accuracy 0.8690</w:t>
      </w:r>
      <w:r>
        <w:t xml:space="preserve"> </w:t>
      </w:r>
      <w:r>
        <w:t xml:space="preserve">(balanced accuracy 0.3748, macro-F1 0.3144) on MIT-BIH. The MIT-BIH figures are</w:t>
      </w:r>
      <w:r>
        <w:t xml:space="preserve"> </w:t>
      </w:r>
      <w:r>
        <w:t xml:space="preserve">weak on minority classes; this affects set size and not coverage.</w:t>
      </w:r>
    </w:p>
    <w:bookmarkEnd w:id="42"/>
    <w:bookmarkStart w:id="43" w:name="splits"/>
    <w:p>
      <w:pPr>
        <w:pStyle w:val="Heading2"/>
      </w:pPr>
      <w:r>
        <w:t xml:space="preserve">7.2 Splits</w:t>
      </w:r>
    </w:p>
    <w:p>
      <w:pPr>
        <w:pStyle w:val="FirstParagraph"/>
        <w:jc w:val="both"/>
      </w:pPr>
      <w:r>
        <w:rPr>
          <w:b/>
          <w:bCs/>
        </w:rPr>
        <w:t xml:space="preserve">PTB-XL.</w:t>
      </w:r>
      <w:r>
        <w:t xml:space="preserve"> </w:t>
      </w:r>
      <w:r>
        <w:t xml:space="preserve">Folds 1–6 for training, fold 7 for validation, fold 9 for</w:t>
      </w:r>
      <w:r>
        <w:t xml:space="preserve"> </w:t>
      </w:r>
      <w:r>
        <w:t xml:space="preserve">calibration and evaluation, split at the patient level and repeated 200–400</w:t>
      </w:r>
      <w:r>
        <w:t xml:space="preserve"> </w:t>
      </w:r>
      <w:r>
        <w:t xml:space="preserve">times. Folds 8 and 10 are untouched: fold 8 because its label quality differs</w:t>
      </w:r>
      <w:r>
        <w:t xml:space="preserve"> </w:t>
      </w:r>
      <w:r>
        <w:t xml:space="preserve">from fold 9, and fold 10 because it is reserved for a single final confirmatory</w:t>
      </w:r>
      <w:r>
        <w:t xml:space="preserve"> </w:t>
      </w:r>
      <w:r>
        <w:t xml:space="preserve">evaluation.</w:t>
      </w:r>
    </w:p>
    <w:p>
      <w:pPr>
        <w:pStyle w:val="BodyText"/>
        <w:jc w:val="both"/>
      </w:pPr>
      <w:r>
        <w:rPr>
          <w:b/>
          <w:bCs/>
        </w:rPr>
        <w:t xml:space="preserve">MIT-BIH.</w:t>
      </w:r>
      <w:r>
        <w:t xml:space="preserve"> </w:t>
      </w:r>
      <w:r>
        <w:t xml:space="preserve">DS1 minus four validation records (124, 205, 215, 230) for</w:t>
      </w:r>
      <w:r>
        <w:t xml:space="preserve"> </w:t>
      </w:r>
      <w:r>
        <w:t xml:space="preserve">training; those four for validation; DS2 split 11/11 at the record level for</w:t>
      </w:r>
      <w:r>
        <w:t xml:space="preserve"> </w:t>
      </w:r>
      <w:r>
        <w:t xml:space="preserve">calibration and evaluation, repeated 200–400 times.</w:t>
      </w:r>
    </w:p>
    <w:bookmarkEnd w:id="43"/>
    <w:bookmarkStart w:id="44" w:name="conformity-scores"/>
    <w:p>
      <w:pPr>
        <w:pStyle w:val="Heading2"/>
      </w:pPr>
      <w:r>
        <w:t xml:space="preserve">7.3 Conformity scores</w:t>
      </w:r>
    </w:p>
    <w:p>
      <w:pPr>
        <w:pStyle w:val="FirstParagraph"/>
        <w:jc w:val="both"/>
      </w:pPr>
      <w:r>
        <w:t xml:space="preserve">For multi-class MIT-BIH we use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For multi-label PTB-XL</w:t>
      </w:r>
      <w:r>
        <w:t xml:space="preserve"> </w:t>
      </w:r>
      <w:r>
        <w:t xml:space="preserve">the per-label score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the record-level score for</w:t>
      </w:r>
      <w:r>
        <w:t xml:space="preserve"> </w:t>
      </w:r>
      <w:r>
        <w:t xml:space="preserve">superset coverage is the maximum over true labels — the construction that, as</w:t>
      </w:r>
      <w:r>
        <w:t xml:space="preserve"> </w:t>
      </w:r>
      <w:r>
        <w:t xml:space="preserve">noted in §5.3.1, reduces exactly to scalar HCP.</w:t>
      </w:r>
    </w:p>
    <w:bookmarkEnd w:id="44"/>
    <w:bookmarkStart w:id="45" w:name="methods-compared"/>
    <w:p>
      <w:pPr>
        <w:pStyle w:val="Heading2"/>
      </w:pPr>
      <w:r>
        <w:t xml:space="preserve">7.4 Methods compared</w:t>
      </w:r>
    </w:p>
    <w:p>
      <w:pPr>
        <w:pStyle w:val="FirstParagraph"/>
        <w:jc w:val="both"/>
      </w:pPr>
      <w:r>
        <w:t xml:space="preserve">The audit compares two procedures: split conformal prediction calibrated as if</w:t>
      </w:r>
      <w:r>
        <w:t xml:space="preserve"> </w:t>
      </w:r>
      <w:r>
        <w:t xml:space="preserve">records or beats were exchangeable (B1), and HCP calibrated at the block level</w:t>
      </w:r>
      <w:r>
        <w:t xml:space="preserve"> </w:t>
      </w:r>
      <w:r>
        <w:t xml:space="preserve">(B12) [8]. The question is whether a guarantee can be enforced at all, not which</w:t>
      </w:r>
      <w:r>
        <w:t xml:space="preserve"> </w:t>
      </w:r>
      <w:r>
        <w:t xml:space="preserve">hierarchical construction is most efficient; the alternatives of Dunn et al.</w:t>
      </w:r>
      <w:r>
        <w:t xml:space="preserve"> </w:t>
      </w:r>
      <w:r>
        <w:t xml:space="preserve">[10] and non-hierarchical variants such as Mondrian conformal prediction are</w:t>
      </w:r>
      <w:r>
        <w:t xml:space="preserve"> </w:t>
      </w:r>
      <w:r>
        <w:t xml:space="preserve">therefore outside the scope of the comparison.</w:t>
      </w:r>
    </w:p>
    <w:bookmarkEnd w:id="45"/>
    <w:bookmarkStart w:id="46" w:name="statistical-analysis"/>
    <w:p>
      <w:pPr>
        <w:pStyle w:val="Heading2"/>
      </w:pPr>
      <w:r>
        <w:t xml:space="preserve">7.5 Statistical analysis</w:t>
      </w:r>
    </w:p>
    <w:p>
      <w:pPr>
        <w:pStyle w:val="FirstParagraph"/>
        <w:jc w:val="both"/>
      </w:pPr>
      <w:r>
        <w:t xml:space="preserve">The procedures are summarised in Table IV. Every resampling step operates on</w:t>
      </w:r>
      <w:r>
        <w:t xml:space="preserve"> </w:t>
      </w:r>
      <w:r>
        <w:t xml:space="preserve">blocks — patients or records — never on individual records or beats, since doing</w:t>
      </w:r>
      <w:r>
        <w:t xml:space="preserve"> </w:t>
      </w:r>
      <w:r>
        <w:t xml:space="preserve">otherwise would reproduce the error this paper analyses.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IV</w:t>
      </w:r>
      <w:r>
        <w:br/>
      </w:r>
      <w:r>
        <w:rPr>
          <w:sz w:val="16"/>
        </w:rPr>
        <w:t>STATISTICAL PROCEDURES.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Coverage and set size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Mean over 200 random block-level splits; 2.5–97.5% range across splits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B1 deficit against the permutation null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Percentile bootstrap (4,000 resamples of split-level coverage), 95% CI; one-sided bootstrap</w:t>
            </w:r>
            <w:r>
              <w:rPr>
                <w:sz w:val="17"/>
              </w:rP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Multiplicity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Holm–Bonferroni across the three</w:t>
            </w:r>
            <w:r>
              <w:rPr>
                <w:sz w:val="17"/>
              </w:rPr>
              <w:t xml:space="preserve"> </w:t>
            </w:r>
            <m:oMath>
              <m:r>
                <m:t>α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levels within each backbone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Factorial effects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Percentile bootstrap (3,000 resamples of 400 split-level values), 95%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Monotonicity in dependence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Spearman correlation,</w:t>
            </w:r>
            <w:r>
              <w:rPr>
                <w:sz w:val="17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Sensitivity to checkpoint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Agreement of signs between best-validation and last-epoch weights</w:t>
            </w:r>
          </w:p>
        </w:tc>
      </w:tr>
    </w:tbl>
    <w:p>
      <w:pPr>
        <w:pStyle w:val="BodyText"/>
        <w:jc w:val="both"/>
      </w:pPr>
      <w:r>
        <w:t xml:space="preserve">Friedman and Nemenyi tests are not used. The procedure of Demšar is designed for</w:t>
      </w:r>
      <w:r>
        <w:t xml:space="preserve"> </w:t>
      </w:r>
      <w:r>
        <w:t xml:space="preserve">comparing many classifiers across many datasets, conventionally at least five;</w:t>
      </w:r>
      <w:r>
        <w:t xml:space="preserve"> </w:t>
      </w:r>
      <w:r>
        <w:t xml:space="preserve">with two datasets it is uninformative.</w:t>
      </w:r>
    </w:p>
    <w:bookmarkEnd w:id="46"/>
    <w:bookmarkStart w:id="47" w:name="reproducibility"/>
    <w:p>
      <w:pPr>
        <w:pStyle w:val="Heading2"/>
      </w:pPr>
      <w:r>
        <w:t xml:space="preserve">7.6 Reproducibility</w:t>
      </w:r>
    </w:p>
    <w:p>
      <w:pPr>
        <w:pStyle w:val="FirstParagraph"/>
        <w:jc w:val="both"/>
      </w:pPr>
      <w:r>
        <w:t xml:space="preserve">All experiments run on CPU (2 threads). Every reported figure is written to a</w:t>
      </w:r>
      <w:r>
        <w:t xml:space="preserve"> </w:t>
      </w:r>
      <w:r>
        <w:t xml:space="preserve">JSON artefact under</w:t>
      </w:r>
      <w:r>
        <w:t xml:space="preserve"> </w:t>
      </w:r>
      <w:r>
        <w:rPr>
          <w:rStyle w:val="VerbatimChar"/>
        </w:rPr>
        <w:t xml:space="preserve">results/raw/</w:t>
      </w:r>
      <w:r>
        <w:t xml:space="preserve"> </w:t>
      </w:r>
      <w:r>
        <w:t xml:space="preserve">recording the configuration that produced it.</w:t>
      </w:r>
      <w:r>
        <w:t xml:space="preserve"> </w:t>
      </w:r>
      <w:r>
        <w:t xml:space="preserve">Random seeds are fixed and stated. Dataset caches are written atomically — to a</w:t>
      </w:r>
      <w:r>
        <w:t xml:space="preserve"> </w:t>
      </w:r>
      <w:r>
        <w:t xml:space="preserve">temporary file followed by an atomic rename — so that an interrupted run cannot</w:t>
      </w:r>
      <w:r>
        <w:t xml:space="preserve"> </w:t>
      </w:r>
      <w:r>
        <w:t xml:space="preserve">leave a partially written cache that a later run would silently treat as valid.</w:t>
      </w:r>
    </w:p>
    <w:bookmarkEnd w:id="47"/>
    <w:bookmarkEnd w:id="48"/>
    <w:bookmarkStart w:id="69" w:name="results"/>
    <w:p>
      <w:pPr>
        <w:pStyle w:val="Heading1"/>
      </w:pPr>
      <w:r>
        <w:t xml:space="preserve">8. Results</w:t>
      </w:r>
    </w:p>
    <w:p>
      <w:pPr>
        <w:pStyle w:val="FirstParagraph"/>
        <w:jc w:val="both"/>
      </w:pPr>
      <w:r>
        <w:t xml:space="preserve">We report results in the order of the audit: first what can be decided before</w:t>
      </w:r>
      <w:r>
        <w:t xml:space="preserve"> </w:t>
      </w:r>
      <w:r>
        <w:t xml:space="preserve">any model is trained (§8.1), then what a trained model reveals about coverage</w:t>
      </w:r>
      <w:r>
        <w:t xml:space="preserve"> </w:t>
      </w:r>
      <w:r>
        <w:t xml:space="preserve">(§8.2), whether the observed deficit is attributable to dependence (§8.3), how it</w:t>
      </w:r>
      <w:r>
        <w:t xml:space="preserve"> </w:t>
      </w:r>
      <w:r>
        <w:t xml:space="preserve">scales with the design effect (§8.4), and how robust these findings are to the</w:t>
      </w:r>
      <w:r>
        <w:t xml:space="preserve"> </w:t>
      </w:r>
      <w:r>
        <w:t xml:space="preserve">choice of backbone and checkpoint (§8.5).</w:t>
      </w:r>
    </w:p>
    <w:p>
      <w:pPr>
        <w:pStyle w:val="BodyText"/>
        <w:jc w:val="both"/>
      </w:pPr>
      <w:r>
        <w:t xml:space="preserve">Throughout, B1 denotes split conformal prediction calibrated as if records (or</w:t>
      </w:r>
      <w:r>
        <w:t xml:space="preserve"> </w:t>
      </w:r>
      <w:r>
        <w:t xml:space="preserve">beats) were exchangeable, and B12 denotes hierarchical conformal prediction (HCP)</w:t>
      </w:r>
      <w:r>
        <w:t xml:space="preserve"> </w:t>
      </w:r>
      <w:r>
        <w:t xml:space="preserve">[8] calibrated at the block level.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number of calibration blocks and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error rate at which HCP returns a finite</w:t>
      </w:r>
      <w:r>
        <w:t xml:space="preserve"> </w:t>
      </w:r>
      <w:r>
        <w:t xml:space="preserve">threshold (Proposition 1).</w:t>
      </w:r>
    </w:p>
    <w:bookmarkStart w:id="55" w:name="X703171b6c9ef8344f5ae4ef526c91a89ce0ec43"/>
    <w:p>
      <w:pPr>
        <w:pStyle w:val="Heading2"/>
      </w:pPr>
      <w:r>
        <w:t xml:space="preserve">8.1 Feasibility is decided by the partition, not by the model</w:t>
      </w:r>
    </w:p>
    <w:p>
      <w:pPr>
        <w:pStyle w:val="FirstParagraph"/>
        <w:jc w:val="both"/>
      </w:pPr>
      <w:r>
        <w:rPr>
          <w:b/>
          <w:bCs/>
        </w:rPr>
        <w:t xml:space="preserve">Granularity.</w:t>
      </w:r>
      <w:r>
        <w:t xml:space="preserve"> </w:t>
      </w:r>
      <w:r>
        <w:t xml:space="preserve">Table V applies Proposition 1 to the PTB-XL calibration fold</w:t>
      </w:r>
      <w:r>
        <w:t xml:space="preserve"> </w:t>
      </w:r>
      <w:r>
        <w:t xml:space="preserve">(fold 9, 2,183 records) under each candidate grouping. Blocking by patient is</w:t>
      </w:r>
      <w:r>
        <w:t xml:space="preserve"> </w:t>
      </w:r>
      <w:r>
        <w:t xml:space="preserve">feasible at every conventional</w:t>
      </w:r>
      <w:r>
        <w:t xml:space="preserve"> </w:t>
      </w:r>
      <m:oMath>
        <m:r>
          <m:t>α</m:t>
        </m:r>
      </m:oMath>
      <w:r>
        <w:t xml:space="preserve">. Every coarser source restricts the</w:t>
      </w:r>
      <w:r>
        <w:t xml:space="preserve"> </w:t>
      </w:r>
      <w:r>
        <w:t xml:space="preserve">admissible range: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exclude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strat_fold</w:t>
      </w:r>
      <w:r>
        <w:t xml:space="preserve"> </w:t>
      </w:r>
      <w:r>
        <w:t xml:space="preserve">admits only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0.20</m:t>
        </m:r>
      </m:oMath>
      <w:r>
        <w:t xml:space="preserve">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V</w:t>
      </w:r>
      <w:r>
        <w:br/>
      </w:r>
      <w:r>
        <w:rPr>
          <w:sz w:val="16"/>
        </w:rPr>
        <w:t>FEASIBILITY OF HCP ON PTB-XL FOLD 9 BY GROUPING.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766"/>
        <w:gridCol w:w="1021"/>
        <w:gridCol w:w="1021"/>
        <w:gridCol w:w="1021"/>
        <w:gridCol w:w="1021"/>
        <w:gridCol w:w="766"/>
        <w:gridCol w:w="766"/>
        <w:gridCol w:w="766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Grouping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Blocks (all folds)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Mean block size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sz w:val="17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sz w:val="17"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patient_id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18,869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1,942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0.00051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54.55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0.02439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nurse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163.42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0.07692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device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198.46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0.08333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strat_fold†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2,179.90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0.11111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t xml:space="preserve">† Applicable only if calibration draws on folds 1–8.</w:t>
      </w:r>
    </w:p>
    <w:p>
      <w:pPr>
        <w:pStyle w:val="BodyText"/>
        <w:jc w:val="both"/>
      </w:pPr>
      <w:r>
        <w:t xml:space="preserve">Fig. 2 places every grouping on the feasibility frontier, together with the joins</w:t>
      </w:r>
      <w:r>
        <w:t xml:space="preserve"> </w:t>
      </w:r>
      <w:r>
        <w:t xml:space="preserve">discussed below and the MIT-BIH record partition.</w:t>
      </w:r>
    </w:p>
    <w:p>
      <w:pPr>
        <w:pStyle w:val="CaptionedFigure"/>
        <w:jc w:val="both"/>
      </w:pPr>
      <w:r>
        <w:drawing>
          <wp:inline>
            <wp:extent cx="3108960" cy="2176272"/>
            <wp:effectExtent b="0" l="0" r="0" t="0"/>
            <wp:docPr descr="Fig. 2. Feasibility frontier \alpha_{\min}=1/(K_1+1). Each marker is a calibration grouping on PTB-XL fold 9 (circles: single dependence source; squares: join of sources) or the MIT-BIH record partition (diamond). Values in parentheses are K_1. A grouping supports a guarantee at level \alpha only if its marker lies below the corresponding dotted line." title="" id="50" name="Picture"/>
            <a:graphic>
              <a:graphicData uri="http://schemas.openxmlformats.org/drawingml/2006/picture">
                <pic:pic>
                  <pic:nvPicPr>
                    <pic:cNvPr descr="figures/fig2_feasibility_frontie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7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Fig. 2. Feasibility frontier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Each marker is a calibration grouping on PTB-XL fold 9 (circles: single dependence source; squares: join of sources) or the MIT-BIH record partition (diamond). Values in parentheses are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 A grouping supports a guarantee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only if its marker lies below the corresponding dotted line.</w:t>
      </w:r>
    </w:p>
    <w:p>
      <w:pPr>
        <w:pStyle w:val="BodyText"/>
        <w:jc w:val="both"/>
      </w:pPr>
      <w:r>
        <w:t xml:space="preserve">The feasibility of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requires qualification. Of the 40 sites</w:t>
      </w:r>
      <w:r>
        <w:t xml:space="preserve"> </w:t>
      </w:r>
      <w:r>
        <w:t xml:space="preserve">in fold 9, 37 occur only among the 223 records whose</w:t>
      </w:r>
      <w:r>
        <w:t xml:space="preserve"> </w:t>
      </w:r>
      <w:r>
        <w:rPr>
          <w:rStyle w:val="VerbatimChar"/>
        </w:rPr>
        <w:t xml:space="preserve">nurse</w:t>
      </w:r>
      <w:r>
        <w:t xml:space="preserve"> </w:t>
      </w:r>
      <w:r>
        <w:t xml:space="preserve">field is empty;</w:t>
      </w:r>
      <w:r>
        <w:t xml:space="preserve"> </w:t>
      </w:r>
      <w:r>
        <w:t xml:space="preserve">the 1,960 records with complete metadata come from 3 sites. The admissibility of</w:t>
      </w:r>
      <w:r>
        <w:t xml:space="preserve"> </w:t>
      </w:r>
      <w:r>
        <w:t xml:space="preserve">site-level blocking therefore rests on a metadata-incomplete minority that</w:t>
      </w:r>
      <w:r>
        <w:t xml:space="preserve"> </w:t>
      </w:r>
      <w:r>
        <w:t xml:space="preserve">appears to reflect a different collection regime.</w:t>
      </w:r>
    </w:p>
    <w:p>
      <w:pPr>
        <w:pStyle w:val="BodyText"/>
        <w:jc w:val="both"/>
      </w:pPr>
      <w:r>
        <w:rPr>
          <w:b/>
          <w:bCs/>
        </w:rPr>
        <w:t xml:space="preserve">Crossed sources.</w:t>
      </w:r>
      <w:r>
        <w:t xml:space="preserve"> </w:t>
      </w:r>
      <w:r>
        <w:t xml:space="preserve">Dependence sources in PTB-XL are crossed rather than nested:</w:t>
      </w:r>
      <w:r>
        <w:t xml:space="preserve"> </w:t>
      </w:r>
      <w:r>
        <w:t xml:space="preserve">46 patients span more than one site, 247 more than one nurse, and 174 more than one</w:t>
      </w:r>
      <w:r>
        <w:t xml:space="preserve"> </w:t>
      </w:r>
      <w:r>
        <w:t xml:space="preserve">device. Controlling several sources jointly therefore requires their</w:t>
      </w:r>
      <w:r>
        <w:t xml:space="preserve"> </w:t>
      </w:r>
      <w:r>
        <w:rPr>
          <w:i/>
          <w:iCs/>
        </w:rPr>
        <w:t xml:space="preserve">join</w:t>
      </w:r>
      <w:r>
        <w:t xml:space="preserve"> </w:t>
      </w:r>
      <w:r>
        <w:t xml:space="preserve">(connected components), which coarsens rapidly. On all 2,183 records, controlling</w:t>
      </w:r>
      <w:r>
        <w:t xml:space="preserve"> </w:t>
      </w:r>
      <w:r>
        <w:t xml:space="preserve">patient and device leaves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0.167</m:t>
        </m:r>
      </m:oMath>
      <w:r>
        <w:t xml:space="preserve">), and controlling all four</w:t>
      </w:r>
      <w:r>
        <w:t xml:space="preserve"> </w:t>
      </w:r>
      <w:r>
        <w:t xml:space="preserve">sources leaves a single block (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). Restricting to the 1,960</w:t>
      </w:r>
      <w:r>
        <w:t xml:space="preserve"> </w:t>
      </w:r>
      <w:r>
        <w:t xml:space="preserve">records with complete metadata and enumerating all 15 joins of the four declared</w:t>
      </w:r>
      <w:r>
        <w:t xml:space="preserve"> </w:t>
      </w:r>
      <w:r>
        <w:t xml:space="preserve">sources, 8 satisfy sufficiency (every source nested within the grouping), and all</w:t>
      </w:r>
      <w:r>
        <w:t xml:space="preserve"> </w:t>
      </w:r>
      <w:r>
        <w:t xml:space="preserve">8 have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patient, site, nurse, and device are all treated as dependence</w:t>
      </w:r>
      <w:r>
        <w:rPr>
          <w:i/>
          <w:iCs/>
        </w:rPr>
        <w:t xml:space="preserve"> </w:t>
      </w:r>
      <w:r>
        <w:rPr>
          <w:i/>
          <w:iCs/>
        </w:rPr>
        <w:t xml:space="preserve">sources, no admissible calibration grouping exists at any conventional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conclusion is conditional on that declaration, which cannot be verified from</w:t>
      </w:r>
      <w:r>
        <w:t xml:space="preserve"> </w:t>
      </w:r>
      <w:r>
        <w:t xml:space="preserve">data (§10.5); the collapse of joined partitions into a giant component is itself</w:t>
      </w:r>
      <w:r>
        <w:t xml:space="preserve"> </w:t>
      </w:r>
      <w:r>
        <w:t xml:space="preserve">known [34].</w:t>
      </w:r>
    </w:p>
    <w:p>
      <w:pPr>
        <w:pStyle w:val="BodyText"/>
        <w:jc w:val="both"/>
      </w:pPr>
      <w:r>
        <w:rPr>
          <w:b/>
          <w:bCs/>
        </w:rPr>
        <w:t xml:space="preserve">Labels.</w:t>
      </w:r>
      <w:r>
        <w:t xml:space="preserve"> </w:t>
      </w:r>
      <w:r>
        <w:t xml:space="preserve">The bound applies per label when coverage is required conditional on</w:t>
      </w:r>
      <w:r>
        <w:t xml:space="preserve"> </w:t>
      </w:r>
      <w:r>
        <w:t xml:space="preserve">a label (Proposition 4, a necessary condition). Table VI shows how the feasible</w:t>
      </w:r>
      <w:r>
        <w:t xml:space="preserve"> </w:t>
      </w:r>
      <w:r>
        <w:t xml:space="preserve">region shrinks as the PTB-XL hierarchy is refined. At the superclass level every</w:t>
      </w:r>
      <w:r>
        <w:t xml:space="preserve"> </w:t>
      </w:r>
      <w:r>
        <w:t xml:space="preserve">label is feasible. At the finest level, 24 of 44 SCP codes fail the necessary</w:t>
      </w:r>
      <w:r>
        <w:t xml:space="preserve"> </w:t>
      </w:r>
      <w:r>
        <w:t xml:space="preserve">condition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2AVB</w:t>
      </w:r>
      <w:r>
        <w:t xml:space="preserve"> </w:t>
      </w:r>
      <w:r>
        <w:t xml:space="preserve">has a single calibration block. Under a</w:t>
      </w:r>
      <w:r>
        <w:t xml:space="preserve"> </w:t>
      </w:r>
      <w:r>
        <w:t xml:space="preserve">Bonferroni requirement across labels, 43 of 44 codes are infeasible at a</w:t>
      </w:r>
      <w:r>
        <w:t xml:space="preserve"> </w:t>
      </w:r>
      <w:r>
        <w:t xml:space="preserve">family-wise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Monotonicity along the hierarchy held in all 23</w:t>
      </w:r>
      <w:r>
        <w:t xml:space="preserve"> </w:t>
      </w:r>
      <w:r>
        <w:t xml:space="preserve">parent–child pairs. The same boundary appears in MIT-BIH, where class Q occupies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records (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0.333</m:t>
        </m:r>
      </m:oMath>
      <w:r>
        <w:t xml:space="preserve">).</w:t>
      </w:r>
    </w:p>
    <w:p>
      <w:pPr>
        <w:pStyle w:val="BodyText"/>
        <w:keepNext/>
        <w:spacing w:before="160"/>
        <w:jc w:val="center"/>
      </w:pPr>
      <w:r/>
      <w:r/>
      <m:oMath>
        <m:r>
          <m:t>α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/>
      <w:r>
        <w:rPr>
          <w:sz w:val="18"/>
        </w:rPr>
        <w:t>TABLE VI</w:t>
      </w:r>
      <w:r>
        <w:br/>
      </w:r>
      <w:r>
        <w:rPr>
          <w:sz w:val="16"/>
        </w:rPr>
        <w:t>LABELS FAILING THE NECESSARY CONDITION , PTB-XL FOLD 9, PATIENT BLOCKS.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Labels</w:t>
            </w:r>
            <w:r>
              <w:rPr>
                <w:b/>
                <w:sz w:val="17"/>
              </w:rP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ℓ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range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Fail at 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Fail at 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Fail at 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Fail at 0.05 /</w:t>
            </w:r>
            <w:r>
              <w:rPr>
                <w:b/>
                <w:sz w:val="17"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Superclass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242–905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Subclass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2–905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SCP code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1–905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43</w:t>
            </w:r>
          </w:p>
        </w:tc>
      </w:tr>
    </w:tbl>
    <w:p>
      <w:pPr>
        <w:pStyle w:val="CaptionedFigure"/>
        <w:jc w:val="both"/>
      </w:pPr>
      <w:r>
        <w:drawing>
          <wp:inline>
            <wp:extent cx="5334000" cy="1604287"/>
            <wp:effectExtent b="0" l="0" r="0" t="0"/>
            <wp:docPr descr="Fig. 3. Calibration blocks carrying each label, by level of the PTB-XL hierarchy (fold 9, patient blocks; log scale). Dashed and dotted lines mark the minimum number of blocks for a finite per-label threshold at \alpha=0.05 and \alpha=0.10. Dark bars meet the \alpha=0.05 requirement, light bars only the \alpha=0.10 requirement, and orange bars neither." title="" id="53" name="Picture"/>
            <a:graphic>
              <a:graphicData uri="http://schemas.openxmlformats.org/drawingml/2006/picture">
                <pic:pic>
                  <pic:nvPicPr>
                    <pic:cNvPr descr="figures/fig3_label_feasibilit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4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Fig. 3. Calibration blocks carrying each label, by level of the PTB-XL hierarchy (fold 9, patient blocks; log scale). Dashed and dotted lines mark the minimum number of blocks for a finite per-label threshold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</m:oMath>
      <w:r>
        <w:t xml:space="preserve">. Dark bars meet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requirement, light bars only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requirement, and orange bars neither.</w:t>
      </w:r>
    </w:p>
    <w:p>
      <w:pPr>
        <w:pStyle w:val="BodyText"/>
        <w:jc w:val="both"/>
      </w:pPr>
      <w:r>
        <w:t xml:space="preserve">None of §8.1 involves a trained model. These verdicts are exact, carry no</w:t>
      </w:r>
      <w:r>
        <w:t xml:space="preserve"> </w:t>
      </w:r>
      <w:r>
        <w:t xml:space="preserve">sampling error, and can be computed before a single patient is enrolled.</w:t>
      </w:r>
    </w:p>
    <w:bookmarkEnd w:id="55"/>
    <w:bookmarkStart w:id="59" w:name="coverage-under-block-dependence"/>
    <w:p>
      <w:pPr>
        <w:pStyle w:val="Heading2"/>
      </w:pPr>
      <w:r>
        <w:t xml:space="preserve">8.2 Coverage under block dependence</w:t>
      </w:r>
    </w:p>
    <w:p>
      <w:pPr>
        <w:pStyle w:val="FirstParagraph"/>
        <w:jc w:val="both"/>
      </w:pPr>
      <w:r>
        <w:t xml:space="preserve">Table VII and Fig. 4 report coverage and set size on MIT-BIH (beats within records, 22</w:t>
      </w:r>
      <w:r>
        <w:t xml:space="preserve"> </w:t>
      </w:r>
      <w:r>
        <w:t xml:space="preserve">evaluation records split 11/11, 200 record-level splits) and PTB-XL (records</w:t>
      </w:r>
      <w:r>
        <w:t xml:space="preserve"> </w:t>
      </w:r>
      <w:r>
        <w:t xml:space="preserve">within patients, fold 9 split at patient level, 200 splits), using the primary</w:t>
      </w:r>
      <w:r>
        <w:t xml:space="preserve"> </w:t>
      </w:r>
      <w:r>
        <w:t xml:space="preserve">backbones of the feasibility study.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VII</w:t>
      </w:r>
      <w:r>
        <w:br/>
      </w:r>
      <w:r>
        <w:rPr>
          <w:sz w:val="16"/>
        </w:rPr>
        <w:t>COVERAGE (MEAN OVER SPLITS, WITH 2.5–97.5% RANGE ACROSS SPLITS) AND MEAN SET SIZE.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1080"/>
        <w:gridCol w:w="1440"/>
        <w:gridCol w:w="108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B1 coverage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B12 coverage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|</m:t>
              </m:r>
              <m:r>
                <m:t>C</m:t>
              </m:r>
              <m:r>
                <m:rPr>
                  <m:sty m:val="p"/>
                </m:rPr>
                <m:t>|</m:t>
              </m:r>
            </m:oMath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B1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|</m:t>
              </m:r>
              <m:r>
                <m:t>C</m:t>
              </m:r>
              <m:r>
                <m:rPr>
                  <m:sty m:val="p"/>
                </m:rPr>
                <m:t>|</m:t>
              </m:r>
            </m:oMath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B12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MIT-BIH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0.01‡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0.9673 [0.9137, 0.9997]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2.695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5.000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0.05‡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0.9398 [0.8045, 0.9974]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1.690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5.000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0.8851 [0.6887, 0.9788]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0.9615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1.051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2.434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0.8279 [0.6151, 0.9602]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0.9234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1.443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0.7764 [0.5542, 0.9462]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0.8642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0.834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PTB-XL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0.9910 [0.9823, 0.9972]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0.9912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3.769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3.788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0.9511 [0.9318, 0.9673]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0.9510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2.741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2.742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0.9010 [0.8741, 0.9256]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0.9002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2.248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2.240</w:t>
            </w:r>
          </w:p>
        </w:tc>
      </w:tr>
    </w:tbl>
    <w:p>
      <w:pPr>
        <w:pStyle w:val="BodyText"/>
      </w:pPr>
      <w:r>
        <w:t xml:space="preserve">‡ Below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</m:t>
        </m:r>
      </m:oMath>
      <w:r>
        <w:t xml:space="preserve">: HCP returns the full label set for every test beat.</w:t>
      </w:r>
    </w:p>
    <w:p>
      <w:pPr>
        <w:pStyle w:val="BodyText"/>
        <w:jc w:val="both"/>
      </w:pPr>
      <w:r>
        <w:t xml:space="preserve">Three observations follow. First, on MIT-BIH the mean coverage of B1 lies below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 level, by 1.0–2.4 percentage points, while on PTB-XL it lies</w:t>
      </w:r>
      <w:r>
        <w:t xml:space="preserve"> </w:t>
      </w:r>
      <w:r>
        <w:t xml:space="preserve">at or above nominal. Second, the split-to-split range on MIT-BIH is wide enough to</w:t>
      </w:r>
      <w:r>
        <w:t xml:space="preserve"> </w:t>
      </w:r>
      <w:r>
        <w:t xml:space="preserve">contain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 level; with 11 test records, no single split can</w:t>
      </w:r>
      <w:r>
        <w:t xml:space="preserve"> </w:t>
      </w:r>
      <w:r>
        <w:t xml:space="preserve">reveal a deficit of this size, and the comparison of means alone is not a test.</w:t>
      </w:r>
      <w:r>
        <w:t xml:space="preserve"> </w:t>
      </w:r>
      <w:r>
        <w:t xml:space="preserve">Third, B12 coverage must be read together with set size: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HCP</w:t>
      </w:r>
      <w:r>
        <w:t xml:space="preserve"> </w:t>
      </w:r>
      <w:r>
        <w:t xml:space="preserve">attains 0.9615 with 2.43 labels out of 5, against 1.05 for B1. Below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its</w:t>
      </w:r>
      <w:r>
        <w:t xml:space="preserve"> </w:t>
      </w:r>
      <w:r>
        <w:t xml:space="preserve">“perfect”</w:t>
      </w:r>
      <w:r>
        <w:t xml:space="preserve"> </w:t>
      </w:r>
      <w:r>
        <w:t xml:space="preserve">coverage is abstention.</w:t>
      </w:r>
    </w:p>
    <w:p>
      <w:pPr>
        <w:pStyle w:val="CaptionedFigure"/>
        <w:jc w:val="both"/>
      </w:pPr>
      <w:r>
        <w:drawing>
          <wp:inline>
            <wp:extent cx="5334000" cy="1679032"/>
            <wp:effectExtent b="0" l="0" r="0" t="0"/>
            <wp:docPr descr="Fig. 4. Coverage minus nominal 1-\alpha for split conformal (B1, mean with 2.5–97.5% range across 200 block-level splits) and HCP (B12, mean), primary backbone. Shaded MIT-BIH levels lie below \alpha_{\min}=1/12, where HCP returns every label. Note the different vertical scales." title="" id="57" name="Picture"/>
            <a:graphic>
              <a:graphicData uri="http://schemas.openxmlformats.org/drawingml/2006/picture">
                <pic:pic>
                  <pic:nvPicPr>
                    <pic:cNvPr descr="figures/fig4_covera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Fig. 4. Coverage minus nominal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split conformal (B1, mean with 2.5–97.5% range across 200 block-level splits) and HCP (B12, mean), primary backbone. Shaded MIT-BIH levels lie below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</m:t>
        </m:r>
      </m:oMath>
      <w:r>
        <w:t xml:space="preserve">, where HCP returns every label. Note the different vertical scales.</w:t>
      </w:r>
    </w:p>
    <w:bookmarkEnd w:id="59"/>
    <w:bookmarkStart w:id="60" w:name="X971afb3920367740875daf59080031d77744c88"/>
    <w:p>
      <w:pPr>
        <w:pStyle w:val="Heading2"/>
      </w:pPr>
      <w:r>
        <w:t xml:space="preserve">8.3 The deficit is attributable to dependence</w:t>
      </w:r>
    </w:p>
    <w:p>
      <w:pPr>
        <w:pStyle w:val="FirstParagraph"/>
        <w:jc w:val="both"/>
      </w:pPr>
      <w:r>
        <w:rPr>
          <w:b/>
          <w:bCs/>
        </w:rPr>
        <w:t xml:space="preserve">Permutation null.</w:t>
      </w:r>
      <w:r>
        <w:t xml:space="preserve"> </w:t>
      </w:r>
      <w:r>
        <w:t xml:space="preserve">To test whether B1 under-covers</w:t>
      </w:r>
      <w:r>
        <w:t xml:space="preserve"> </w:t>
      </w:r>
      <w:r>
        <w:rPr>
          <w:i/>
          <w:iCs/>
        </w:rPr>
        <w:t xml:space="preserve">because of</w:t>
      </w:r>
      <w:r>
        <w:t xml:space="preserve"> </w:t>
      </w:r>
      <w:r>
        <w:t xml:space="preserve">dependence, we</w:t>
      </w:r>
      <w:r>
        <w:t xml:space="preserve"> </w:t>
      </w:r>
      <w:r>
        <w:t xml:space="preserve">compared it with a matched null: beat-to-record assignments in DS2 were permuted,</w:t>
      </w:r>
      <w:r>
        <w:t xml:space="preserve"> </w:t>
      </w:r>
      <w:r>
        <w:t xml:space="preserve">preserving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 the multiset of block sizes, and the marginal score</w:t>
      </w:r>
      <w:r>
        <w:t xml:space="preserve"> </w:t>
      </w:r>
      <w:r>
        <w:t xml:space="preserve">distribution exactly, while reducing the score ICC from 0.519 to 0.000. The B1</w:t>
      </w:r>
      <w:r>
        <w:t xml:space="preserve"> </w:t>
      </w:r>
      <w:r>
        <w:t xml:space="preserve">deficit relative to this null is positive at all three feasible levels and</w:t>
      </w:r>
      <w:r>
        <w:t xml:space="preserve"> </w:t>
      </w:r>
      <w:r>
        <w:t xml:space="preserve">significant at each after Holm correction across levels (Table VIII, first row;</w:t>
      </w:r>
      <w:r>
        <w:t xml:space="preserve"> </w:t>
      </w:r>
      <w:r>
        <w:t xml:space="preserve">adjusted one-sided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0.0075</m:t>
        </m:r>
      </m:oMath>
      <w:r>
        <w:t xml:space="preserve">).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VIII</w:t>
      </w:r>
      <w:r>
        <w:br/>
      </w:r>
      <w:r>
        <w:rPr>
          <w:sz w:val="16"/>
        </w:rPr>
        <w:t>MIT-BIH: B1 DEFICIT AGAINST THE PERMUTATION NULL, PP [95% CI], WITH THE NUMBER OF LEVELS SIGNIFICANT BY 95% CI AND AFTER HOLM CORRECTION.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1080"/>
        <w:gridCol w:w="144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Backbone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Score ICC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0.15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0.20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sz w:val="17"/>
              </w:rP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sz w:val="17"/>
              </w:rPr>
              <w:t xml:space="preserve">Holm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SmallECGNet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0.519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+1.49 [0.34, 2.71]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+2.21 [0.85, 3.60]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+2.37 [0.79, 3.93]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3/3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ResNet1D-34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0.436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+1.15 [0.10, 2.23]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+1.02 [−0.16, 2.23]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+0.81 [−0.59, 2.17]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0/3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ResNet1D-50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0.462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+2.54 [1.25, 3.87]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+3.42 [1.91, 4.98]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+3.18 [1.54, 4.82]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3/3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7"/>
              </w:rPr>
              <w:t xml:space="preserve">3/3</w:t>
            </w:r>
          </w:p>
        </w:tc>
      </w:tr>
    </w:tbl>
    <w:p>
      <w:pPr>
        <w:pStyle w:val="BodyText"/>
        <w:jc w:val="both"/>
      </w:pPr>
      <w:r>
        <w:t xml:space="preserve">The same control shows why the comparison of B12 with B1 is not informative.</w:t>
      </w:r>
      <w:r>
        <w:t xml:space="preserve"> </w:t>
      </w:r>
      <w:r>
        <w:t xml:space="preserve">Under permutation, where no dependence remains, the B12−B1 gap persists at</w:t>
      </w:r>
      <w:r>
        <w:t xml:space="preserve"> </w:t>
      </w:r>
      <w:r>
        <w:t xml:space="preserve">81–107% of its original size: HCP’s finite-block correction forces it to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quantile regardless of dependence. We therefore withdrew</w:t>
      </w:r>
      <w:r>
        <w:t xml:space="preserve"> </w:t>
      </w:r>
      <w:r>
        <w:t xml:space="preserve">“B12 improves on B1”</w:t>
      </w:r>
      <w:r>
        <w:t xml:space="preserve"> </w:t>
      </w:r>
      <w:r>
        <w:t xml:space="preserve">as a criterion (§10.4) and rely on the deficit against the</w:t>
      </w:r>
      <w:r>
        <w:t xml:space="preserve"> </w:t>
      </w:r>
      <w:r>
        <w:t xml:space="preserve">permutation null throughout.</w:t>
      </w:r>
    </w:p>
    <w:p>
      <w:pPr>
        <w:pStyle w:val="BodyText"/>
        <w:jc w:val="both"/>
      </w:pPr>
      <w:r>
        <w:rPr>
          <w:b/>
          <w:bCs/>
        </w:rPr>
        <w:t xml:space="preserve">Factorial decomposition.</w:t>
      </w:r>
      <w:r>
        <w:t xml:space="preserve"> </w:t>
      </w:r>
      <w:r>
        <w:t xml:space="preserve">A 2×2 design crossed clustering (original vs.</w:t>
      </w:r>
      <w:r>
        <w:t xml:space="preserve"> </w:t>
      </w:r>
      <w:r>
        <w:t xml:space="preserve">randomised record membership) with block-size balance (balanced vs. imbalanced),</w:t>
      </w:r>
      <w:r>
        <w:t xml:space="preserve"> </w:t>
      </w:r>
      <w:r>
        <w:t xml:space="preserve">at fixed calibration size. Clustering reduced coverage by 1.22, 1.55 and 1.49 pp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0.20</m:t>
        </m:r>
      </m:oMath>
      <w:r>
        <w:t xml:space="preserve">, with intervals excluding zero at every level</w:t>
      </w:r>
      <w:r>
        <w:t xml:space="preserve"> </w:t>
      </w:r>
      <w:r>
        <w:t xml:space="preserve">(e.g. 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1.84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0.63</m:t>
        </m:r>
        <m:r>
          <m:rPr>
            <m:sty m:val="p"/>
          </m:rPr>
          <m:t>]</m:t>
        </m:r>
      </m:oMath>
      <w:r>
        <w:t xml:space="preserve"> </w:t>
      </w:r>
      <w:r>
        <w:t xml:space="preserve">pp at 0.10). The imbalance effect (−0.44, −0.26, −0.27 pp)</w:t>
      </w:r>
      <w:r>
        <w:t xml:space="preserve"> </w:t>
      </w:r>
      <w:r>
        <w:t xml:space="preserve">and the interaction were not significant at any level. Block-size imbalance, a</w:t>
      </w:r>
      <w:r>
        <w:t xml:space="preserve"> </w:t>
      </w:r>
      <w:r>
        <w:t xml:space="preserve">plausible alternative explanation, does not account for the deficit.</w:t>
      </w:r>
    </w:p>
    <w:bookmarkEnd w:id="60"/>
    <w:bookmarkStart w:id="64" w:name="the-deficit-tracks-the-design-effect"/>
    <w:p>
      <w:pPr>
        <w:pStyle w:val="Heading2"/>
      </w:pPr>
      <w:r>
        <w:t xml:space="preserve">8.4 The deficit tracks the design effect</w:t>
      </w:r>
    </w:p>
    <w:p>
      <w:pPr>
        <w:pStyle w:val="FirstParagraph"/>
        <w:jc w:val="both"/>
      </w:pPr>
      <w:r>
        <w:t xml:space="preserve">To vary dependence within a single dataset, a fraction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MIT-BIH beats was</w:t>
      </w:r>
      <w:r>
        <w:t xml:space="preserve"> </w:t>
      </w:r>
      <w:r>
        <w:t xml:space="preserve">reassigned to random records, with blocks held at a uniform size of 1,355 beats so</w:t>
      </w:r>
      <w:r>
        <w:t xml:space="preserve"> </w:t>
      </w:r>
      <w:r>
        <w:t xml:space="preserve">that imbalance plays no role (11 values of</w:t>
      </w:r>
      <w:r>
        <w:t xml:space="preserve"> </w:t>
      </w:r>
      <m:oMath>
        <m:r>
          <m:t>p</m:t>
        </m:r>
      </m:oMath>
      <w:r>
        <w:t xml:space="preserve">, 300 splits each). The score ICC</w:t>
      </w:r>
      <w:r>
        <w:t xml:space="preserve"> </w:t>
      </w:r>
      <w:r>
        <w:t xml:space="preserve">falls from 0.519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0.0001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 Because blocks are uniform and</w:t>
      </w:r>
      <w:r>
        <w:t xml:space="preserve"> </w:t>
      </w:r>
      <w:r>
        <w:t xml:space="preserve">calibration is subsampled, deficits in this design are smaller than in §8.3</w:t>
      </w:r>
      <w:r>
        <w:t xml:space="preserve"> </w:t>
      </w:r>
      <w:r>
        <w:t xml:space="preserve">(0.65 pp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</m:oMath>
      <w:r>
        <w:t xml:space="preserve">).</w:t>
      </w:r>
    </w:p>
    <w:p>
      <w:pPr>
        <w:pStyle w:val="BodyText"/>
        <w:jc w:val="both"/>
      </w:pPr>
      <w:r>
        <w:t xml:space="preserve">Per point, every interval contains zero; the evidence lies in the trend, which is</w:t>
      </w:r>
      <w:r>
        <w:t xml:space="preserve"> </w:t>
      </w:r>
      <w:r>
        <w:t xml:space="preserve">what the pre-registered Spearman criterion tests (Table IX). Within MIT-BIH,</w:t>
      </w:r>
      <w:r>
        <w:t xml:space="preserve"> </w:t>
      </w:r>
      <w:r>
        <w:t xml:space="preserve">deficit increases with ICC at all three levels. Adding PTB-XL as a twelfth point</w:t>
      </w:r>
      <w:r>
        <w:t xml:space="preserve"> </w:t>
      </w:r>
      <w:r>
        <w:t xml:space="preserve">requires a common axis. ICC does not provide one: PTB-XL has a patient-level ICC</w:t>
      </w:r>
      <w:r>
        <w:t xml:space="preserve"> </w:t>
      </w:r>
      <w:r>
        <w:t xml:space="preserve">of 0.352, comparable to a MIT-BIH point with a deficit of 0.35 pp, yet shows no</w:t>
      </w:r>
      <w:r>
        <w:t xml:space="preserve"> </w:t>
      </w:r>
      <w:r>
        <w:t xml:space="preserve">deficit. The design effect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ρ</m:t>
        </m:r>
      </m:oMath>
      <w:r>
        <w:t xml:space="preserve">, 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harmonic</w:t>
      </w:r>
      <w:r>
        <w:t xml:space="preserve"> </w:t>
      </w:r>
      <w:r>
        <w:t xml:space="preserve">mean block size, does: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1.05</m:t>
        </m:r>
      </m:oMath>
      <w:r>
        <w:t xml:space="preserve"> </w:t>
      </w:r>
      <w:r>
        <w:t xml:space="preserve">gives PTB-XL a DEff of 1.02, against 704 for</w:t>
      </w:r>
      <w:r>
        <w:t xml:space="preserve"> </w:t>
      </w:r>
      <w:r>
        <w:t xml:space="preserve">intact MIT-BIH. We use DEff as a summary axis, not as a sufficient statistic;</w:t>
      </w:r>
      <w:r>
        <w:t xml:space="preserve"> </w:t>
      </w:r>
      <w:r>
        <w:t xml:space="preserve">see [33] for an exceedance-specific design effect. On this axis the combined</w:t>
      </w:r>
      <w:r>
        <w:t xml:space="preserve"> </w:t>
      </w:r>
      <w:r>
        <w:t xml:space="preserve">correlation remains positive and significant (Fig. 5). Because the ICC of Proposition 2</w:t>
      </w:r>
      <w:r>
        <w:t xml:space="preserve"> </w:t>
      </w:r>
      <w:r>
        <w:t xml:space="preserve">concerns the coverage</w:t>
      </w:r>
      <w:r>
        <w:t xml:space="preserve"> </w:t>
      </w:r>
      <w:r>
        <w:rPr>
          <w:i/>
          <w:iCs/>
        </w:rPr>
        <w:t xml:space="preserve">indicator</w:t>
      </w:r>
      <w:r>
        <w:t xml:space="preserve"> </w:t>
      </w:r>
      <w:r>
        <w:t xml:space="preserve">rather than raw scores, we recomputed the curve</w:t>
      </w:r>
      <w:r>
        <w:t xml:space="preserve"> </w:t>
      </w:r>
      <w:r>
        <w:t xml:space="preserve">with the indicator ICC at a fixed threshold; the conclusion is unchanged.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IX</w:t>
      </w:r>
      <w:r>
        <w:br/>
      </w:r>
      <w:r>
        <w:rPr>
          <w:sz w:val="16"/>
        </w:rPr>
        <w:t>SPEARMAN CORRELATION BETWEEN DEPENDENCE AND COVERAGE DEFICIT.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Points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0.15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0.20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Score ICC, MIT-BIH only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0.88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0.0003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0.78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0.0045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0.80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0.0031</m:t>
              </m:r>
            </m:oMath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DEff, MIT-BIH + PTB-XL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0.84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0.0006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0.80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0.0016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0.85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0.0005</m:t>
              </m:r>
            </m:oMath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Indicator DEff, MIT-BIH + PTB-XL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0.90 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0.0001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0.80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0.0016</m:t>
              </m:r>
            </m:oMath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0.71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0.010</m:t>
              </m:r>
            </m:oMath>
            <w:r>
              <w:rPr>
                <w:sz w:val="17"/>
              </w:rPr>
              <w:t xml:space="preserve">)</w:t>
            </w:r>
          </w:p>
        </w:tc>
      </w:tr>
    </w:tbl>
    <w:p>
      <w:pPr>
        <w:pStyle w:val="BodyText"/>
        <w:jc w:val="both"/>
      </w:pPr>
      <w:r>
        <w:t xml:space="preserve">The combined correlation is driven by the internal MIT-BIH gradient; PTB-XL serves</w:t>
      </w:r>
      <w:r>
        <w:t xml:space="preserve"> </w:t>
      </w:r>
      <w:r>
        <w:t xml:space="preserve">as a prediction check at the low-dependence end, not as an independent trend</w:t>
      </w:r>
      <w:r>
        <w:t xml:space="preserve"> </w:t>
      </w:r>
      <w:r>
        <w:t xml:space="preserve">(§10.3). PTB-XL’s deficits on this protocol are −0.05, −0.12 and −0.16 pp, i.e.</w:t>
      </w:r>
      <w:r>
        <w:t xml:space="preserve"> </w:t>
      </w:r>
      <w:r>
        <w:t xml:space="preserve">slight over-coverage, with every interval containing zero.</w:t>
      </w:r>
    </w:p>
    <w:p>
      <w:pPr>
        <w:pStyle w:val="CaptionedFigure"/>
        <w:jc w:val="both"/>
      </w:pPr>
      <w:r>
        <w:drawing>
          <wp:inline>
            <wp:extent cx="3108960" cy="2277948"/>
            <wp:effectExtent b="0" l="0" r="0" t="0"/>
            <wp:docPr descr="Fig. 5. B1 coverage deficit against the design effect. MIT-BIH points (blue) are obtained by randomly reassigning a growing fraction of beats to other records at a fixed block size; PTB-XL (orange) is the observed patient partition with 95% CI. The annotation gives the Spearman correlation over the 12 points at \alpha=0.10, 0.15, 0.20." title="" id="62" name="Picture"/>
            <a:graphic>
              <a:graphicData uri="http://schemas.openxmlformats.org/drawingml/2006/picture">
                <pic:pic>
                  <pic:nvPicPr>
                    <pic:cNvPr descr="figures/fig5_dose_respons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7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Fig. 5. B1 coverage deficit against the design effect. MIT-BIH points (blue) are obtained by randomly reassigning a growing fraction of beats to other records at a fixed block size; PTB-XL (orange) is the observed patient partition with 95% CI. The annotation gives the Spearman correlation over the 12 points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0.20</m:t>
        </m:r>
      </m:oMath>
      <w:r>
        <w:t xml:space="preserve">.</w:t>
      </w:r>
    </w:p>
    <w:bookmarkEnd w:id="64"/>
    <w:bookmarkStart w:id="68" w:name="robustness-to-backbone-and-checkpoint"/>
    <w:p>
      <w:pPr>
        <w:pStyle w:val="Heading2"/>
      </w:pPr>
      <w:r>
        <w:t xml:space="preserve">8.5 Robustness to backbone and checkpoint</w:t>
      </w:r>
    </w:p>
    <w:p>
      <w:pPr>
        <w:pStyle w:val="FirstParagraph"/>
        <w:jc w:val="both"/>
      </w:pPr>
      <w:r>
        <w:rPr>
          <w:b/>
          <w:bCs/>
        </w:rPr>
        <w:t xml:space="preserve">Backbone.</w:t>
      </w:r>
      <w:r>
        <w:t xml:space="preserve"> </w:t>
      </w:r>
      <w:r>
        <w:t xml:space="preserve">We repeated the audit with two 1-D residual networks of roughly 70-</w:t>
      </w:r>
      <w:r>
        <w:t xml:space="preserve"> </w:t>
      </w:r>
      <w:r>
        <w:t xml:space="preserve">and 155-fold the parameter count of the primary backbone (Table X). Discrimination</w:t>
      </w:r>
      <w:r>
        <w:t xml:space="preserve"> </w:t>
      </w:r>
      <w:r>
        <w:t xml:space="preserve">responded unevenly to capacity: MIT-BIH accuracy rose from 0.869 to 0.926, but</w:t>
      </w:r>
      <w:r>
        <w:t xml:space="preserve"> </w:t>
      </w:r>
      <w:r>
        <w:t xml:space="preserve">balanced accuracy stayed at 0.370–0.376, and PTB-XL macro-AUROC</w:t>
      </w:r>
      <w:r>
        <w:t xml:space="preserve"> </w:t>
      </w:r>
      <w:r>
        <w:rPr>
          <w:i/>
          <w:iCs/>
        </w:rPr>
        <w:t xml:space="preserve">fell</w:t>
      </w:r>
      <w:r>
        <w:t xml:space="preserve"> </w:t>
      </w:r>
      <w:r>
        <w:t xml:space="preserve">slightly</w:t>
      </w:r>
      <w:r>
        <w:t xml:space="preserve"> </w:t>
      </w:r>
      <w:r>
        <w:t xml:space="preserve">from 0.902 to 0.896.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was identical across backbones on both datasets,</w:t>
      </w:r>
      <w:r>
        <w:t xml:space="preserve"> </w:t>
      </w:r>
      <w:r>
        <w:t xml:space="preserve">as it must be; this serves as a negative control on the pipeline.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X</w:t>
      </w:r>
      <w:r>
        <w:br/>
      </w:r>
      <w:r>
        <w:rPr>
          <w:sz w:val="16"/>
        </w:rPr>
        <w:t>DISCRIMINATION BY BACKBONE.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Backbone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Parameters (MIT-BIH / PTB-XL)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MIT-BIH 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MIT-BIH balanced acc.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sz w:val="17"/>
              </w:rPr>
              <w:t xml:space="preserve">PTB-XL macro-AUROC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SmallECGNet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101,925 / 104,389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0.869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ResNet1D-34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7,220,805 / 7,225,733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ResNet1D-50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15,964,485 / 15,969,413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0.370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7"/>
              </w:rPr>
              <w:t xml:space="preserve">0.896</w:t>
            </w:r>
          </w:p>
        </w:tc>
      </w:tr>
    </w:tbl>
    <w:p>
      <w:pPr>
        <w:pStyle w:val="BodyText"/>
        <w:jc w:val="both"/>
      </w:pPr>
      <w:r>
        <w:t xml:space="preserve">On PTB-XL, B1 attained nominal coverage in all 9 backbone×</w:t>
      </w:r>
      <m:oMath>
        <m:r>
          <m:t>α</m:t>
        </m:r>
      </m:oMath>
      <w:r>
        <w:t xml:space="preserve"> </w:t>
      </w:r>
      <w:r>
        <w:t xml:space="preserve">cells (mean</w:t>
      </w:r>
      <w:r>
        <w:t xml:space="preserve"> </w:t>
      </w:r>
      <w:r>
        <w:t xml:space="preserve">deficit +0.05 to +0.19 pp above nominal). On MIT-BIH, the permutation test of</w:t>
      </w:r>
      <w:r>
        <w:t xml:space="preserve"> </w:t>
      </w:r>
      <w:r>
        <w:t xml:space="preserve">§8.3 was repeated for each backbone under a criterion fixed beforehand:</w:t>
      </w:r>
      <w:r>
        <w:t xml:space="preserve"> </w:t>
      </w:r>
      <w:r>
        <w:t xml:space="preserve">significance at every feasible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(Table VIII, Fig. 6).</w:t>
      </w:r>
    </w:p>
    <w:p>
      <w:pPr>
        <w:pStyle w:val="BodyText"/>
        <w:jc w:val="both"/>
      </w:pPr>
      <w:r>
        <w:t xml:space="preserve">The deficit is positive in all 9 cells. By 95% interval it is significant in 7;</w:t>
      </w:r>
      <w:r>
        <w:t xml:space="preserve"> </w:t>
      </w:r>
      <w:r>
        <w:t xml:space="preserve">after the pre-specified Holm correction across the three levels it is significant</w:t>
      </w:r>
      <w:r>
        <w:t xml:space="preserve"> </w:t>
      </w:r>
      <w:r>
        <w:t xml:space="preserve">at every level for SmallECGNet and ResNet1D-50 (adjusted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0.0075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0.0007</m:t>
        </m:r>
      </m:oMath>
      <w:r>
        <w:t xml:space="preserve">), but at none for ResNet1D-34 (adjusted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0.050</m:t>
        </m:r>
      </m:oMath>
      <w:r>
        <w:t xml:space="preserve">,</w:t>
      </w:r>
      <w:r>
        <w:t xml:space="preserve"> </w:t>
      </w:r>
      <m:oMath>
        <m:r>
          <m:t>0.095</m:t>
        </m:r>
      </m:oMath>
      <w:r>
        <w:t xml:space="preserve">,</w:t>
      </w:r>
      <w:r>
        <w:t xml:space="preserve"> </w:t>
      </w:r>
      <m:oMath>
        <m:r>
          <m:t>0.127</m:t>
        </m:r>
      </m:oMath>
      <w:r>
        <w:t xml:space="preserve">).</w:t>
      </w:r>
      <w:r>
        <w:t xml:space="preserve"> </w:t>
      </w:r>
      <w:r>
        <w:t xml:space="preserve">The criterion therefore fails for ResNet1D-34. We claim that the direction of the</w:t>
      </w:r>
      <w:r>
        <w:t xml:space="preserve"> </w:t>
      </w:r>
      <w:r>
        <w:t xml:space="preserve">contrast between datasets is invariant to the backbone, but not that its</w:t>
      </w:r>
      <w:r>
        <w:t xml:space="preserve"> </w:t>
      </w:r>
      <w:r>
        <w:t xml:space="preserve">statistical strength is. The mechanical share of the B12−B1 gap under permutation</w:t>
      </w:r>
      <w:r>
        <w:t xml:space="preserve"> </w:t>
      </w:r>
      <w:r>
        <w:t xml:space="preserve">was 75–110% across the three backbones, confirming the withdrawal of that</w:t>
      </w:r>
      <w:r>
        <w:t xml:space="preserve"> </w:t>
      </w:r>
      <w:r>
        <w:t xml:space="preserve">criterion beyond the primary model.</w:t>
      </w:r>
    </w:p>
    <w:p>
      <w:pPr>
        <w:pStyle w:val="CaptionedFigure"/>
        <w:jc w:val="both"/>
      </w:pPr>
      <w:r>
        <w:drawing>
          <wp:inline>
            <wp:extent cx="3108960" cy="1962112"/>
            <wp:effectExtent b="0" l="0" r="0" t="0"/>
            <wp:docPr descr="Fig. 6. MIT-BIH B1 coverage deficit against the matched permutation null, by backbone and \alpha (point estimate and 95% bootstrap CI). Open markers denote intervals that include zero." title="" id="66" name="Picture"/>
            <a:graphic>
              <a:graphicData uri="http://schemas.openxmlformats.org/drawingml/2006/picture">
                <pic:pic>
                  <pic:nvPicPr>
                    <pic:cNvPr descr="figures/fig6_backbone_permutat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96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Fig. 6. MIT-BIH B1 coverage deficit against the matched permutation null, by backbone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(point estimate and 95% bootstrap CI). Open markers denote intervals that include zero.</w:t>
      </w:r>
    </w:p>
    <w:p>
      <w:pPr>
        <w:pStyle w:val="BodyText"/>
        <w:jc w:val="both"/>
      </w:pPr>
      <w:r>
        <w:rPr>
          <w:b/>
          <w:bCs/>
        </w:rPr>
        <w:t xml:space="preserve">Checkpoint.</w:t>
      </w:r>
      <w:r>
        <w:t xml:space="preserve"> </w:t>
      </w:r>
      <w:r>
        <w:t xml:space="preserve">The MIT-BIH validation set holds 4 records, and early stopping</w:t>
      </w:r>
      <w:r>
        <w:t xml:space="preserve"> </w:t>
      </w:r>
      <w:r>
        <w:t xml:space="preserve">selected epoch 1 for ResNet1D-50. A pre-registered sensitivity analysis repeated</w:t>
      </w:r>
      <w:r>
        <w:t xml:space="preserve"> </w:t>
      </w:r>
      <w:r>
        <w:t xml:space="preserve">the audit with last-epoch weights for both residual networks on both datasets</w:t>
      </w:r>
      <w:r>
        <w:t xml:space="preserve"> </w:t>
      </w:r>
      <w:r>
        <w:t xml:space="preserve">(MIT-BIH epochs 13 vs. 8 and 6 vs. 1; PTB-XL 14 vs. 9 and 12 vs. 7). The sign of</w:t>
      </w:r>
      <w:r>
        <w:t xml:space="preserve"> </w:t>
      </w:r>
      <w:r>
        <w:t xml:space="preserve">the B1 deficit agreed in all 16 backbone×dataset×</w:t>
      </w:r>
      <m:oMath>
        <m:r>
          <m:t>α</m:t>
        </m:r>
      </m:oMath>
      <w:r>
        <w:t xml:space="preserve"> </w:t>
      </w:r>
      <w:r>
        <w:t xml:space="preserve">cells, and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was identical. The magnitude did not agree: it moved by up to 1.8 pp on MIT-BIH,</w:t>
      </w:r>
      <w:r>
        <w:t xml:space="preserve"> </w:t>
      </w:r>
      <w:r>
        <w:t xml:space="preserve">enough to reorder the backbones. Differences in deficit magnitude between</w:t>
      </w:r>
      <w:r>
        <w:t xml:space="preserve"> </w:t>
      </w:r>
      <w:r>
        <w:t xml:space="preserve">backbones are therefore not interpreted.</w:t>
      </w:r>
    </w:p>
    <w:bookmarkEnd w:id="68"/>
    <w:bookmarkEnd w:id="69"/>
    <w:bookmarkStart w:id="70" w:name="discussion"/>
    <w:p>
      <w:pPr>
        <w:pStyle w:val="Heading1"/>
      </w:pPr>
      <w:r>
        <w:t xml:space="preserve">9. Discussion</w:t>
      </w:r>
    </w:p>
    <w:p>
      <w:pPr>
        <w:pStyle w:val="FirstParagraph"/>
      </w:pPr>
      <w:r>
        <w:t xml:space="preserve">[NOT YET WRITTEN]</w:t>
      </w:r>
    </w:p>
    <w:bookmarkEnd w:id="70"/>
    <w:bookmarkStart w:id="77" w:name="threats-to-validity"/>
    <w:p>
      <w:pPr>
        <w:pStyle w:val="Heading1"/>
      </w:pPr>
      <w:r>
        <w:t xml:space="preserve">10. Threats to Validity</w:t>
      </w:r>
    </w:p>
    <w:bookmarkStart w:id="71" w:name="internal-validity"/>
    <w:p>
      <w:pPr>
        <w:pStyle w:val="Heading2"/>
      </w:pPr>
      <w:r>
        <w:t xml:space="preserve">10.1 Internal validity</w:t>
      </w:r>
    </w:p>
    <w:p>
      <w:pPr>
        <w:pStyle w:val="FirstParagraph"/>
        <w:jc w:val="both"/>
      </w:pPr>
      <w:r>
        <w:rPr>
          <w:b/>
          <w:bCs/>
        </w:rPr>
        <w:t xml:space="preserve">Label provenance.</w:t>
      </w:r>
      <w:r>
        <w:t xml:space="preserve"> </w:t>
      </w:r>
      <w:r>
        <w:t xml:space="preserve">PTB-XL diagnostic statements derive from clinical reports</w:t>
      </w:r>
      <w:r>
        <w:t xml:space="preserve"> </w:t>
      </w:r>
      <w:r>
        <w:t xml:space="preserve">and carry likelihood annotations. Only 64–68% of records in folds 1–8 were</w:t>
      </w:r>
      <w:r>
        <w:t xml:space="preserve"> </w:t>
      </w:r>
      <w:r>
        <w:t xml:space="preserve">validated by a human cardiologist, against 100% in folds 9 and 10. An early</w:t>
      </w:r>
      <w:r>
        <w:t xml:space="preserve"> </w:t>
      </w:r>
      <w:r>
        <w:t xml:space="preserve">version of our feasibility study calibrated on fold 8 and evaluated on fold 9,</w:t>
      </w:r>
      <w:r>
        <w:t xml:space="preserve"> </w:t>
      </w:r>
      <w:r>
        <w:t xml:space="preserve">and reported an apparent 1.43 percentage-point coverage deficit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That deficit was an artefact of label-quality shift between folds, not of</w:t>
      </w:r>
      <w:r>
        <w:t xml:space="preserve"> </w:t>
      </w:r>
      <w:r>
        <w:t xml:space="preserve">block dependence. All confirmatory analyses are therefore restricted to folds 9</w:t>
      </w:r>
      <w:r>
        <w:t xml:space="preserve"> </w:t>
      </w:r>
      <w:r>
        <w:t xml:space="preserve">and 10, both fully human-validated; fold 10 is reserved and has not been examined.</w:t>
      </w:r>
    </w:p>
    <w:p>
      <w:pPr>
        <w:pStyle w:val="BodyText"/>
        <w:jc w:val="both"/>
      </w:pPr>
      <w:r>
        <w:rPr>
          <w:b/>
          <w:bCs/>
        </w:rPr>
        <w:t xml:space="preserve">Records without a superclass label.</w:t>
      </w:r>
      <w:r>
        <w:t xml:space="preserve"> </w:t>
      </w:r>
      <w:r>
        <w:t xml:space="preserve">411 of 21,799 records (1.9%) carry no</w:t>
      </w:r>
      <w:r>
        <w:t xml:space="preserve"> </w:t>
      </w:r>
      <w:r>
        <w:t xml:space="preserve">diagnostic superclass. These are excluded from evaluation rather than assigned a</w:t>
      </w:r>
      <w:r>
        <w:t xml:space="preserve"> </w:t>
      </w:r>
      <w:r>
        <w:t xml:space="preserve">default class, which would fabricate labels.</w:t>
      </w:r>
    </w:p>
    <w:p>
      <w:pPr>
        <w:pStyle w:val="BodyText"/>
        <w:jc w:val="both"/>
      </w:pPr>
      <w:r>
        <w:rPr>
          <w:b/>
          <w:bCs/>
        </w:rPr>
        <w:t xml:space="preserve">Channel ordering in MIT-BIH.</w:t>
      </w:r>
      <w:r>
        <w:t xml:space="preserve"> </w:t>
      </w:r>
      <w:r>
        <w:t xml:space="preserve">Record 114 stores its leads in the order</w:t>
      </w:r>
      <w:r>
        <w:t xml:space="preserve"> </w:t>
      </w:r>
      <w:r>
        <w:rPr>
          <w:rStyle w:val="VerbatimChar"/>
        </w:rPr>
        <w:t xml:space="preserve">[V5, MLII]</w:t>
      </w:r>
      <w:r>
        <w:t xml:space="preserve"> </w:t>
      </w:r>
      <w:r>
        <w:t xml:space="preserve">rather than the conventional</w:t>
      </w:r>
      <w:r>
        <w:t xml:space="preserve"> </w:t>
      </w:r>
      <w:r>
        <w:rPr>
          <w:rStyle w:val="VerbatimChar"/>
        </w:rPr>
        <w:t xml:space="preserve">[MLII, V5]</w:t>
      </w:r>
      <w:r>
        <w:t xml:space="preserve">. Selecting channel 0 by</w:t>
      </w:r>
      <w:r>
        <w:t xml:space="preserve"> </w:t>
      </w:r>
      <w:r>
        <w:t xml:space="preserve">index — the natural implementation — silently trains on a different lead for that</w:t>
      </w:r>
      <w:r>
        <w:t xml:space="preserve"> </w:t>
      </w:r>
      <w:r>
        <w:t xml:space="preserve">record, with no error and no trace in any log. Our loader selects by channel</w:t>
      </w:r>
      <w:r>
        <w:t xml:space="preserve"> </w:t>
      </w:r>
      <w:r>
        <w:t xml:space="preserve">name. We report this because the failure mode is invisible to standard checks.</w:t>
      </w:r>
    </w:p>
    <w:p>
      <w:pPr>
        <w:pStyle w:val="BodyText"/>
        <w:jc w:val="both"/>
      </w:pPr>
      <w:r>
        <w:rPr>
          <w:b/>
          <w:bCs/>
        </w:rPr>
        <w:t xml:space="preserve">Boundary beats.</w:t>
      </w:r>
      <w:r>
        <w:t xml:space="preserve"> </w:t>
      </w:r>
      <w:r>
        <w:t xml:space="preserve">40 of 100,733 AAMI-mappable beats lie within 128 samples of a</w:t>
      </w:r>
      <w:r>
        <w:t xml:space="preserve"> </w:t>
      </w:r>
      <w:r>
        <w:t xml:space="preserve">record boundary and cannot yield a complete 256-sample window. They are dropped</w:t>
      </w:r>
      <w:r>
        <w:t xml:space="preserve"> </w:t>
      </w:r>
      <w:r>
        <w:t xml:space="preserve">rather than zero-padded, leaving 100,693.</w:t>
      </w:r>
    </w:p>
    <w:p>
      <w:pPr>
        <w:pStyle w:val="BodyText"/>
        <w:jc w:val="both"/>
      </w:pPr>
      <w:r>
        <w:rPr>
          <w:b/>
          <w:bCs/>
        </w:rPr>
        <w:t xml:space="preserve">Subject overlap in the canonical MIT-BIH split.</w:t>
      </w:r>
      <w:r>
        <w:t xml:space="preserve"> </w:t>
      </w:r>
      <w:r>
        <w:t xml:space="preserve">Records 201 and 202 belong to</w:t>
      </w:r>
      <w:r>
        <w:t xml:space="preserve"> </w:t>
      </w:r>
      <w:r>
        <w:t xml:space="preserve">the same subject and are assigned to DS1 and DS2 respectively by the standard</w:t>
      </w:r>
      <w:r>
        <w:t xml:space="preserve"> </w:t>
      </w:r>
      <w:r>
        <w:t xml:space="preserve">inter-patient partition. This is a mild train/evaluation leak inherent to the</w:t>
      </w:r>
      <w:r>
        <w:t xml:space="preserve"> </w:t>
      </w:r>
      <w:r>
        <w:t xml:space="preserve">canonical split. We retain the split for comparability with prior work and state</w:t>
      </w:r>
      <w:r>
        <w:t xml:space="preserve"> </w:t>
      </w:r>
      <w:r>
        <w:t xml:space="preserve">the leak explicitly rather than silently repairing it.</w:t>
      </w:r>
    </w:p>
    <w:p>
      <w:pPr>
        <w:pStyle w:val="BodyText"/>
        <w:jc w:val="both"/>
      </w:pPr>
      <w:r>
        <w:rPr>
          <w:b/>
          <w:bCs/>
        </w:rPr>
        <w:t xml:space="preserve">Preprocessing leakage.</w:t>
      </w:r>
      <w:r>
        <w:t xml:space="preserve"> </w:t>
      </w:r>
      <w:r>
        <w:t xml:space="preserve">All transformations are fitted on training data only</w:t>
      </w:r>
      <w:r>
        <w:t xml:space="preserve"> </w:t>
      </w:r>
      <w:r>
        <w:t xml:space="preserve">and applied within the pipeline.</w:t>
      </w:r>
    </w:p>
    <w:bookmarkEnd w:id="71"/>
    <w:bookmarkStart w:id="72" w:name="construct-validity"/>
    <w:p>
      <w:pPr>
        <w:pStyle w:val="Heading2"/>
      </w:pPr>
      <w:r>
        <w:t xml:space="preserve">10.2 Construct validity</w:t>
      </w:r>
    </w:p>
    <w:p>
      <w:pPr>
        <w:pStyle w:val="FirstParagraph"/>
        <w:jc w:val="both"/>
      </w:pPr>
      <w:r>
        <w:rPr>
          <w:b/>
          <w:bCs/>
        </w:rPr>
        <w:t xml:space="preserve">Degenerate class.</w:t>
      </w:r>
      <w:r>
        <w:t xml:space="preserve"> </w:t>
      </w:r>
      <w:r>
        <w:t xml:space="preserve">MIT-BIH class Q contains 15 beats in total across DS1 and</w:t>
      </w:r>
      <w:r>
        <w:t xml:space="preserve"> </w:t>
      </w:r>
      <w:r>
        <w:t xml:space="preserve">DS2 — 8 in the training split and 7 in DS2, distributed over only 2 records. Any</w:t>
      </w:r>
      <w:r>
        <w:t xml:space="preserve"> </w:t>
      </w:r>
      <w:r>
        <w:t xml:space="preserve">per-class statistic for Q is uninterpretable. We report per-class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that the reader can see the feasibility boundary directly: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0.333</m:t>
        </m:r>
      </m:oMath>
      <w:r>
        <w:t xml:space="preserve">, far above any error rate of practical interest.</w:t>
      </w:r>
    </w:p>
    <w:p>
      <w:pPr>
        <w:pStyle w:val="BodyText"/>
        <w:jc w:val="both"/>
      </w:pPr>
      <w:r>
        <w:rPr>
          <w:b/>
          <w:bCs/>
        </w:rPr>
        <w:t xml:space="preserve">Model quality is not a threat to validity, but is a threat to efficiency.</w:t>
      </w:r>
      <w:r>
        <w:t xml:space="preserve"> </w:t>
      </w:r>
      <w:r>
        <w:t xml:space="preserve">Conformal guarantees are model-agnostic: a weak model widens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without</w:t>
      </w:r>
      <w:r>
        <w:t xml:space="preserve"> </w:t>
      </w:r>
      <w:r>
        <w:t xml:space="preserve">reducing coverage. Our PTB-XL backbone reaches macro-AUROC 0.9016 against a</w:t>
      </w:r>
      <w:r>
        <w:t xml:space="preserve"> </w:t>
      </w:r>
      <w:r>
        <w:t xml:space="preserve">published benchmark of approximately 0.93, and our MIT-BIH backbone reaches</w:t>
      </w:r>
      <w:r>
        <w:t xml:space="preserve"> </w:t>
      </w:r>
      <w:r>
        <w:t xml:space="preserve">accuracy 0.8690 with balanced accuracy 0.3748 and macro-F1 0.3144 — weak on</w:t>
      </w:r>
      <w:r>
        <w:t xml:space="preserve"> </w:t>
      </w:r>
      <w:r>
        <w:t xml:space="preserve">minority classes. These figures affect 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reported prediction sets and</w:t>
      </w:r>
      <w:r>
        <w:t xml:space="preserve"> </w:t>
      </w:r>
      <w:r>
        <w:t xml:space="preserve">must not be read as evidence about coverage.</w:t>
      </w:r>
    </w:p>
    <w:p>
      <w:pPr>
        <w:pStyle w:val="BodyText"/>
        <w:jc w:val="both"/>
      </w:pPr>
      <w:r>
        <w:t xml:space="preserve">We tested this directly rather than asserting it. On MIT-BIH the audit was</w:t>
      </w:r>
      <w:r>
        <w:t xml:space="preserve"> </w:t>
      </w:r>
      <w:r>
        <w:t xml:space="preserve">repeated with three backbones spanning a 157-fold range in parameter count</w:t>
      </w:r>
      <w:r>
        <w:t xml:space="preserve"> </w:t>
      </w:r>
      <w:r>
        <w:t xml:space="preserve">(101,925; 7,220,805; 15,964,485). Accuracy rose from 0.869 to 0.926, while</w:t>
      </w:r>
      <w:r>
        <w:t xml:space="preserve"> </w:t>
      </w:r>
      <w:r>
        <w:t xml:space="preserve">balanced accuracy stayed at 0.370–0.376.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is identical across</w:t>
      </w:r>
      <w:r>
        <w:t xml:space="preserve"> </w:t>
      </w:r>
      <w:r>
        <w:t xml:space="preserve">backbones, as it must be, since it depends on the partition alone; this serves as</w:t>
      </w:r>
      <w:r>
        <w:t xml:space="preserve"> </w:t>
      </w:r>
      <w:r>
        <w:t xml:space="preserve">a negative control on the pipeline.</w:t>
      </w:r>
    </w:p>
    <w:p>
      <w:pPr>
        <w:pStyle w:val="BodyText"/>
        <w:jc w:val="both"/>
      </w:pPr>
      <w:r>
        <w:t xml:space="preserve">Two readings of the MIT-BIH cells must be kept apart. The point estimate of</w:t>
      </w:r>
      <w:r>
        <w:t xml:space="preserve"> </w:t>
      </w:r>
      <w:r>
        <w:t xml:space="preserve">naive split-conformal coverage lies below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in all 15 backbone×</w:t>
      </w:r>
      <m:oMath>
        <m:r>
          <m:t>α</m:t>
        </m:r>
      </m:oMath>
      <w:r>
        <w:t xml:space="preserve"> </w:t>
      </w:r>
      <w:r>
        <w:t xml:space="preserve">cells, but its interval across splits contains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in every one of them:</w:t>
      </w:r>
      <w:r>
        <w:t xml:space="preserve"> </w:t>
      </w:r>
      <w:r>
        <w:t xml:space="preserve">with 11 test records, split-to-split variability swamps a deficit of 1–3 pp. And</w:t>
      </w:r>
      <w:r>
        <w:t xml:space="preserve"> </w:t>
      </w:r>
      <w:r>
        <w:t xml:space="preserve">the observation that HCP</w:t>
      </w:r>
      <w:r>
        <w:t xml:space="preserve"> </w:t>
      </w:r>
      <w:r>
        <w:t xml:space="preserve">“restores”</w:t>
      </w:r>
      <w:r>
        <w:t xml:space="preserve"> </w:t>
      </w:r>
      <w:r>
        <w:t xml:space="preserve">coverage is not evidence at all —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HCP returns the full label set, and above it 75–110% of the</w:t>
      </w:r>
      <w:r>
        <w:t xml:space="preserve"> </w:t>
      </w:r>
      <w:r>
        <w:t xml:space="preserve">HCP−B1 gap reappears under a permutation that destroys dependence. The test we</w:t>
      </w:r>
      <w:r>
        <w:t xml:space="preserve"> </w:t>
      </w:r>
      <w:r>
        <w:t xml:space="preserve">rely on is therefore the deficit of B1 against that matched permutation null,</w:t>
      </w:r>
      <w:r>
        <w:t xml:space="preserve"> </w:t>
      </w:r>
      <w:r>
        <w:t xml:space="preserve">re-run for each backbone under a criterion fixed beforehand (significance at</w:t>
      </w:r>
      <w:r>
        <w:t xml:space="preserve"> </w:t>
      </w:r>
      <w:r>
        <w:t xml:space="preserve">every feasible</w:t>
      </w:r>
      <w:r>
        <w:t xml:space="preserve"> </w:t>
      </w:r>
      <m:oMath>
        <m:r>
          <m:t>α</m:t>
        </m:r>
      </m:oMath>
      <w:r>
        <w:t xml:space="preserve">, with Holm correction across levels). The deficit is</w:t>
      </w:r>
      <w:r>
        <w:t xml:space="preserve"> </w:t>
      </w:r>
      <w:r>
        <w:t xml:space="preserve">positive in 9/9 cells and significant in 7/9 by 95% interval. After Holm</w:t>
      </w:r>
      <w:r>
        <w:t xml:space="preserve"> </w:t>
      </w:r>
      <w:r>
        <w:t xml:space="preserve">correction it remains significant at every level for the smallest and largest</w:t>
      </w:r>
      <w:r>
        <w:t xml:space="preserve"> </w:t>
      </w:r>
      <w:r>
        <w:t xml:space="preserve">backbone but at none for ResNet1D-34 (adjusted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0.050</m:t>
        </m:r>
      </m:oMath>
      <w:r>
        <w:t xml:space="preserve">,</w:t>
      </w:r>
      <w:r>
        <w:t xml:space="preserve"> </w:t>
      </w:r>
      <m:oMath>
        <m:r>
          <m:t>0.095</m:t>
        </m:r>
      </m:oMath>
      <w:r>
        <w:t xml:space="preserve">,</w:t>
      </w:r>
      <w:r>
        <w:t xml:space="preserve"> </w:t>
      </w:r>
      <m:oMath>
        <m:r>
          <m:t>0.127</m:t>
        </m:r>
      </m:oMath>
      <w:r>
        <w:t xml:space="preserve">).</w:t>
      </w:r>
      <w:r>
        <w:t xml:space="preserve"> </w:t>
      </w:r>
      <w:r>
        <w:t xml:space="preserve">The pre-registered criterion thus fails for one backbone, and we do not</w:t>
      </w:r>
      <w:r>
        <w:t xml:space="preserve"> </w:t>
      </w:r>
      <w:r>
        <w:t xml:space="preserve">claim backbone-invariant significance. On PTB-XL, the same</w:t>
      </w:r>
      <w:r>
        <w:t xml:space="preserve"> </w:t>
      </w:r>
      <w:r>
        <w:t xml:space="preserve">three architectures (104,389; 7,225,733; 15,969,413 parameters) reach</w:t>
      </w:r>
      <w:r>
        <w:t xml:space="preserve"> </w:t>
      </w:r>
      <w:r>
        <w:t xml:space="preserve">macro-AUROC 0.902, 0.897 and 0.896 — the larger models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better — and in</w:t>
      </w:r>
      <w:r>
        <w:t xml:space="preserve"> </w:t>
      </w:r>
      <w:r>
        <w:t xml:space="preserve">all 9 backbone×</w:t>
      </w:r>
      <m:oMath>
        <m:r>
          <m:t>α</m:t>
        </m:r>
      </m:oMath>
      <w:r>
        <w:t xml:space="preserve"> </w:t>
      </w:r>
      <w:r>
        <w:t xml:space="preserve">cells naive split conformal attains nominal coverage</w:t>
      </w:r>
      <w:r>
        <w:t xml:space="preserve"> </w:t>
      </w:r>
      <w:r>
        <w:t xml:space="preserve">(deficit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0.19</m:t>
        </m:r>
      </m:oMath>
      <w:r>
        <w:t xml:space="preserve"> </w:t>
      </w:r>
      <w:r>
        <w:t xml:space="preserve">pp), as predicted at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≈</m:t>
        </m:r>
        <m:r>
          <m:t>1</m:t>
        </m:r>
      </m:oMath>
      <w:r>
        <w:t xml:space="preserve">.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contrast between datasets is invariant to the backbone; its</w:t>
      </w:r>
      <w:r>
        <w:t xml:space="preserve"> </w:t>
      </w:r>
      <w:r>
        <w:t xml:space="preserve">statistical strength on MIT-BIH is not.</w:t>
      </w:r>
    </w:p>
    <w:p>
      <w:pPr>
        <w:pStyle w:val="BodyText"/>
        <w:jc w:val="both"/>
      </w:pPr>
      <w:r>
        <w:rPr>
          <w:b/>
          <w:bCs/>
        </w:rPr>
        <w:t xml:space="preserve">Checkpoint selection on a small validation set.</w:t>
      </w:r>
      <w:r>
        <w:t xml:space="preserve"> </w:t>
      </w:r>
      <w:r>
        <w:t xml:space="preserve">The MIT-BIH validation set</w:t>
      </w:r>
      <w:r>
        <w:t xml:space="preserve"> </w:t>
      </w:r>
      <w:r>
        <w:t xml:space="preserve">comprises only 4 records, and its loss is noisy (0.13–0.56 across epochs). Under</w:t>
      </w:r>
      <w:r>
        <w:t xml:space="preserve"> </w:t>
      </w:r>
      <w:r>
        <w:t xml:space="preserve">our pre-specified rule, early stopping selected the epoch-1 weights for the</w:t>
      </w:r>
      <w:r>
        <w:t xml:space="preserve"> </w:t>
      </w:r>
      <w:r>
        <w:t xml:space="preserve">largest backbone. A reviewer may fairly object that this model is under-trained.</w:t>
      </w:r>
      <w:r>
        <w:t xml:space="preserve"> </w:t>
      </w:r>
      <w:r>
        <w:t xml:space="preserve">Before examining any result, we pre-registered a sensitivity analysis: repeat the</w:t>
      </w:r>
      <w:r>
        <w:t xml:space="preserve"> </w:t>
      </w:r>
      <w:r>
        <w:t xml:space="preserve">audit with the last-epoch weights and require that (S-1) whether HCP improves</w:t>
      </w:r>
      <w:r>
        <w:t xml:space="preserve"> </w:t>
      </w:r>
      <w:r>
        <w:t xml:space="preserve">on B1 and (S-2) the sign of the B1 deficit agree at every</w:t>
      </w:r>
      <w:r>
        <w:t xml:space="preserve"> </w:t>
      </w:r>
      <m:oMath>
        <m:r>
          <m:t>α</m:t>
        </m:r>
      </m:oMath>
      <w:r>
        <w:t xml:space="preserve">, and that</w:t>
      </w:r>
      <w:r>
        <w:t xml:space="preserve"> </w:t>
      </w:r>
      <w:r>
        <w:t xml:space="preserve">(S-3)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be identical. All four trained backbone×dataset pairs pass all</w:t>
      </w:r>
      <w:r>
        <w:t xml:space="preserve"> </w:t>
      </w:r>
      <w:r>
        <w:t xml:space="preserve">three criteria at every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(MIT-BIH: epoch 8 vs 13, 1 vs 6; PTB-XL: 9 vs 14,</w:t>
      </w:r>
      <w:r>
        <w:t xml:space="preserve"> </w:t>
      </w:r>
      <w:r>
        <w:t xml:space="preserve">7 vs 12). The primary selection rule was not altered. We note that S-1 inherits</w:t>
      </w:r>
      <w:r>
        <w:t xml:space="preserve"> </w:t>
      </w:r>
      <w:r>
        <w:t xml:space="preserve">the mechanical character of the HCP−B1 gap described above; S-2 and S-3 carry</w:t>
      </w:r>
      <w:r>
        <w:t xml:space="preserve"> </w:t>
      </w:r>
      <w:r>
        <w:t xml:space="preserve">the information.</w:t>
      </w:r>
    </w:p>
    <w:p>
      <w:pPr>
        <w:pStyle w:val="BodyText"/>
        <w:jc w:val="both"/>
      </w:pPr>
      <w:r>
        <w:rPr>
          <w:b/>
          <w:bCs/>
        </w:rPr>
        <w:t xml:space="preserve">Subgroup definitions are researcher choices.</w:t>
      </w:r>
      <w:r>
        <w:t xml:space="preserve"> </w:t>
      </w:r>
      <w:r>
        <w:t xml:space="preserve">Sensitivity to alternative</w:t>
      </w:r>
      <w:r>
        <w:t xml:space="preserve"> </w:t>
      </w:r>
      <w:r>
        <w:t xml:space="preserve">grouping schemes is examined explicitly.</w:t>
      </w:r>
    </w:p>
    <w:p>
      <w:pPr>
        <w:pStyle w:val="BodyText"/>
        <w:jc w:val="both"/>
      </w:pPr>
      <w:r>
        <w:rPr>
          <w:b/>
          <w:bCs/>
        </w:rPr>
        <w:t xml:space="preserve">Randomised recording dates.</w:t>
      </w:r>
      <w:r>
        <w:t xml:space="preserve"> </w:t>
      </w:r>
      <w:r>
        <w:t xml:space="preserve">PTB-XL shifts</w:t>
      </w:r>
      <w:r>
        <w:t xml:space="preserve"> </w:t>
      </w:r>
      <w:r>
        <w:rPr>
          <w:rStyle w:val="VerbatimChar"/>
        </w:rPr>
        <w:t xml:space="preserve">recording_date</w:t>
      </w:r>
      <w:r>
        <w:t xml:space="preserve"> </w:t>
      </w:r>
      <w:r>
        <w:t xml:space="preserve">by a random offset</w:t>
      </w:r>
      <w:r>
        <w:t xml:space="preserve"> </w:t>
      </w:r>
      <w:r>
        <w:t xml:space="preserve">per patient. Absolute dates are therefore meaningless, while</w:t>
      </w:r>
      <w:r>
        <w:t xml:space="preserve"> </w:t>
      </w:r>
      <w:r>
        <w:rPr>
          <w:i/>
          <w:iCs/>
        </w:rPr>
        <w:t xml:space="preserve">intra-patient</w:t>
      </w:r>
      <w:r>
        <w:rPr>
          <w:i/>
          <w:iCs/>
        </w:rPr>
        <w:t xml:space="preserve"> </w:t>
      </w:r>
      <w:r>
        <w:rPr>
          <w:i/>
          <w:iCs/>
        </w:rPr>
        <w:t xml:space="preserve">intervals</w:t>
      </w:r>
      <w:r>
        <w:t xml:space="preserve"> </w:t>
      </w:r>
      <w:r>
        <w:t xml:space="preserve">are preserved because the offset is constant within a patient. All</w:t>
      </w:r>
      <w:r>
        <w:t xml:space="preserve"> </w:t>
      </w:r>
      <w:r>
        <w:t xml:space="preserve">temporal analysis is restricted to intra-patient intervals; no calendar-based</w:t>
      </w:r>
      <w:r>
        <w:t xml:space="preserve"> </w:t>
      </w:r>
      <w:r>
        <w:t xml:space="preserve">temporal split is performed.</w:t>
      </w:r>
    </w:p>
    <w:bookmarkEnd w:id="72"/>
    <w:bookmarkStart w:id="73" w:name="external-validity"/>
    <w:p>
      <w:pPr>
        <w:pStyle w:val="Heading2"/>
      </w:pPr>
      <w:r>
        <w:t xml:space="preserve">10.3 External validity</w:t>
      </w:r>
    </w:p>
    <w:p>
      <w:pPr>
        <w:pStyle w:val="FirstParagraph"/>
        <w:jc w:val="both"/>
      </w:pPr>
      <w:r>
        <w:rPr>
          <w:b/>
          <w:bCs/>
        </w:rPr>
        <w:t xml:space="preserve">Single institution, dated acquisition.</w:t>
      </w:r>
      <w:r>
        <w:t xml:space="preserve"> </w:t>
      </w:r>
      <w:r>
        <w:t xml:space="preserve">PTB-XL was collected at one site</w:t>
      </w:r>
      <w:r>
        <w:t xml:space="preserve"> </w:t>
      </w:r>
      <w:r>
        <w:t xml:space="preserve">between October 1989 and June 1996 on Schiller AG hardware. Device, nurse, and</w:t>
      </w:r>
      <w:r>
        <w:t xml:space="preserve"> </w:t>
      </w:r>
      <w:r>
        <w:t xml:space="preserve">site metadata are available, which is precisely why the dataset supports the</w:t>
      </w:r>
      <w:r>
        <w:t xml:space="preserve"> </w:t>
      </w:r>
      <w:r>
        <w:t xml:space="preserve">block-structure analysis; but the resulting estimates of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should not</w:t>
      </w:r>
      <w:r>
        <w:t xml:space="preserve"> </w:t>
      </w:r>
      <w:r>
        <w:t xml:space="preserve">be assumed to transfer to modern multi-centre cohorts.</w:t>
      </w:r>
    </w:p>
    <w:p>
      <w:pPr>
        <w:pStyle w:val="BodyText"/>
        <w:jc w:val="both"/>
      </w:pPr>
      <w:r>
        <w:rPr>
          <w:b/>
          <w:bCs/>
        </w:rPr>
        <w:t xml:space="preserve">Two datasets, twelve points, one of them external.</w:t>
      </w:r>
      <w:r>
        <w:t xml:space="preserve"> </w:t>
      </w:r>
      <w:r>
        <w:t xml:space="preserve">The dose–response curve in</w:t>
      </w:r>
      <w:r>
        <w:t xml:space="preserve"> </w:t>
      </w:r>
      <w:r>
        <w:t xml:space="preserve">§8 comprises 11 synthetic points generated within MIT-BIH by progressively</w:t>
      </w:r>
      <w:r>
        <w:t xml:space="preserve"> </w:t>
      </w:r>
      <w:r>
        <w:t xml:space="preserve">randomising block membership, plus a single point from PTB-XL. The combined</w:t>
      </w:r>
      <w:r>
        <w:t xml:space="preserve"> </w:t>
      </w:r>
      <w:r>
        <w:t xml:space="preserve">Spearman correlation is therefore driven by the internal MIT-BIH gradient.</w:t>
      </w:r>
      <w:r>
        <w:t xml:space="preserve"> </w:t>
      </w:r>
      <w:r>
        <w:t xml:space="preserve">PTB-XL’s role is a prediction check, not an independent trend: the theory</w:t>
      </w:r>
      <w:r>
        <w:t xml:space="preserve"> </w:t>
      </w:r>
      <w:r>
        <w:t xml:space="preserve">predicts negligible deficit at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≈</m:t>
        </m:r>
        <m:r>
          <m:t>1</m:t>
        </m:r>
      </m:oMath>
      <w:r>
        <w:t xml:space="preserve">, and PTB-XL — a different</w:t>
      </w:r>
      <w:r>
        <w:t xml:space="preserve"> </w:t>
      </w:r>
      <w:r>
        <w:t xml:space="preserve">modality (12-lead against single-lead), a different task (multi-label against</w:t>
      </w:r>
      <w:r>
        <w:t xml:space="preserve"> </w:t>
      </w:r>
      <w:r>
        <w:t xml:space="preserve">multi-class), and a different block type (patient against record) — lands where</w:t>
      </w:r>
      <w:r>
        <w:t xml:space="preserve"> </w:t>
      </w:r>
      <w:r>
        <w:t xml:space="preserve">predicted. We claim no more than that.</w:t>
      </w:r>
    </w:p>
    <w:p>
      <w:pPr>
        <w:pStyle w:val="BodyText"/>
        <w:jc w:val="both"/>
      </w:pPr>
      <w:r>
        <w:rPr>
          <w:b/>
          <w:bCs/>
        </w:rPr>
        <w:t xml:space="preserve">Synthetic weakening of dependence.</w:t>
      </w:r>
      <w:r>
        <w:t xml:space="preserve"> </w:t>
      </w:r>
      <w:r>
        <w:t xml:space="preserve">The MIT-BIH points are produced by</w:t>
      </w:r>
      <w:r>
        <w:t xml:space="preserve"> </w:t>
      </w:r>
      <w:r>
        <w:t xml:space="preserve">randomly reassigning record labels to a fraction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 beats, not by observing</w:t>
      </w:r>
      <w:r>
        <w:t xml:space="preserve"> </w:t>
      </w:r>
      <w:r>
        <w:t xml:space="preserve">cohorts with naturally differing</w:t>
      </w:r>
      <w:r>
        <w:t xml:space="preserve"> </w:t>
      </w:r>
      <m:oMath>
        <m:r>
          <m:t>ρ</m:t>
        </m:r>
      </m:oMath>
      <w:r>
        <w:t xml:space="preserve">. The construction preserves the block-size</w:t>
      </w:r>
      <w:r>
        <w:t xml:space="preserve"> </w:t>
      </w:r>
      <w:r>
        <w:t xml:space="preserve">multiset and the marginal score distribution, and drives ICC from 0.5192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0.0001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; but it is an intervention, not an observation.</w:t>
      </w:r>
    </w:p>
    <w:p>
      <w:pPr>
        <w:pStyle w:val="BodyText"/>
        <w:jc w:val="both"/>
      </w:pPr>
      <w:r>
        <w:rPr>
          <w:b/>
          <w:bCs/>
        </w:rPr>
        <w:t xml:space="preserve">Resampling reuses the same 22 records.</w:t>
      </w:r>
      <w:r>
        <w:t xml:space="preserve"> </w:t>
      </w:r>
      <w:r>
        <w:t xml:space="preserve">All MIT-BIH confidence intervals derive</w:t>
      </w:r>
      <w:r>
        <w:t xml:space="preserve"> </w:t>
      </w:r>
      <w:r>
        <w:t xml:space="preserve">from repeated splits of a fixed set of 22 DS2 records. They quantify variability</w:t>
      </w:r>
      <w:r>
        <w:t xml:space="preserve"> </w:t>
      </w:r>
      <w:r>
        <w:t xml:space="preserve">across splits, not across the population of patients. With 22 subjects,</w:t>
      </w:r>
      <w:r>
        <w:t xml:space="preserve"> </w:t>
      </w:r>
      <w:r>
        <w:t xml:space="preserve">generalisation beyond MIT-BIH is correspondingly limited.</w:t>
      </w:r>
    </w:p>
    <w:p>
      <w:pPr>
        <w:pStyle w:val="BodyText"/>
        <w:jc w:val="both"/>
      </w:pPr>
      <w:r>
        <w:rPr>
          <w:b/>
          <w:bCs/>
        </w:rPr>
        <w:t xml:space="preserve">Domain specificity.</w:t>
      </w:r>
      <w:r>
        <w:t xml:space="preserve"> </w:t>
      </w:r>
      <w:r>
        <w:t xml:space="preserve">Results are established on ECG. Replication on a</w:t>
      </w:r>
      <w:r>
        <w:t xml:space="preserve"> </w:t>
      </w:r>
      <w:r>
        <w:t xml:space="preserve">non-medical benchmark would be required before claiming framework generality.</w:t>
      </w:r>
    </w:p>
    <w:bookmarkEnd w:id="73"/>
    <w:bookmarkStart w:id="74" w:name="conclusion-validity"/>
    <w:p>
      <w:pPr>
        <w:pStyle w:val="Heading2"/>
      </w:pPr>
      <w:r>
        <w:t xml:space="preserve">10.4 Conclusion validity</w:t>
      </w:r>
    </w:p>
    <w:p>
      <w:pPr>
        <w:pStyle w:val="FirstParagraph"/>
        <w:jc w:val="both"/>
      </w:pPr>
      <w:r>
        <w:rPr>
          <w:b/>
          <w:bCs/>
        </w:rPr>
        <w:t xml:space="preserve">Per-point deficits are not individually significant.</w:t>
      </w:r>
      <w:r>
        <w:t xml:space="preserve"> </w:t>
      </w:r>
      <w:r>
        <w:t xml:space="preserve">In the dose–response</w:t>
      </w:r>
      <w:r>
        <w:t xml:space="preserve"> </w:t>
      </w:r>
      <w:r>
        <w:t xml:space="preserve">analysis every per-point confidence interval contains zero. The evidence rests on</w:t>
      </w:r>
      <w:r>
        <w:t xml:space="preserve"> </w:t>
      </w:r>
      <w:r>
        <w:t xml:space="preserve">the monotone trend across points, which is exactly what the pre-registered</w:t>
      </w:r>
      <w:r>
        <w:t xml:space="preserve"> </w:t>
      </w:r>
      <w:r>
        <w:t xml:space="preserve">Spearman criterion tests. Presenting individual points as significant would</w:t>
      </w:r>
      <w:r>
        <w:t xml:space="preserve"> </w:t>
      </w:r>
      <w:r>
        <w:t xml:space="preserve">misstate the result.</w:t>
      </w:r>
    </w:p>
    <w:p>
      <w:pPr>
        <w:pStyle w:val="BodyText"/>
        <w:jc w:val="both"/>
      </w:pPr>
      <w:r>
        <w:rPr>
          <w:b/>
          <w:bCs/>
        </w:rPr>
        <w:t xml:space="preserve">Coverage must be read jointly with set size.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on MIT-BIH, HCP</w:t>
      </w:r>
      <w:r>
        <w:t xml:space="preserve"> </w:t>
      </w:r>
      <w:r>
        <w:t xml:space="preserve">attains 0.9615 coverage against B1’s 0.8851 — but at an average set size of 2.43</w:t>
      </w:r>
      <w:r>
        <w:t xml:space="preserve"> </w:t>
      </w:r>
      <w:r>
        <w:t xml:space="preserve">labels out of 5, against B1’s 1.05. Reporting coverage alone would make HCP appear</w:t>
      </w:r>
      <w:r>
        <w:t xml:space="preserve"> </w:t>
      </w:r>
      <w:r>
        <w:t xml:space="preserve">uniformly superior when much of the gain is abstention.</w:t>
      </w:r>
    </w:p>
    <w:p>
      <w:pPr>
        <w:pStyle w:val="BodyText"/>
        <w:jc w:val="both"/>
      </w:pPr>
      <w:r>
        <w:rPr>
          <w:b/>
          <w:bCs/>
        </w:rPr>
        <w:t xml:space="preserve">Direction is robust; magnitude is not.</w:t>
      </w:r>
      <w:r>
        <w:t xml:space="preserve"> </w:t>
      </w:r>
      <w:r>
        <w:t xml:space="preserve">The same sensitivity analysis shows</w:t>
      </w:r>
      <w:r>
        <w:t xml:space="preserve"> </w:t>
      </w:r>
      <w:r>
        <w:t xml:space="preserve">that 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the B1 deficit moves by up to 1.8 percentage points between</w:t>
      </w:r>
      <w:r>
        <w:t xml:space="preserve"> </w:t>
      </w:r>
      <w:r>
        <w:t xml:space="preserve">checkpoints of a single backbone (e.g. </w:t>
      </w:r>
      <m:oMath>
        <m:r>
          <m:rPr>
            <m:sty m:val="p"/>
          </m:rPr>
          <m:t>−</m:t>
        </m:r>
        <m:r>
          <m:t>3.41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1.70</m:t>
        </m:r>
      </m:oMath>
      <w:r>
        <w:t xml:space="preserve"> </w:t>
      </w:r>
      <w:r>
        <w:t xml:space="preserve">pp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0.15</m:t>
        </m:r>
      </m:oMath>
      <w:r>
        <w:t xml:space="preserve">),</w:t>
      </w:r>
      <w:r>
        <w:t xml:space="preserve"> </w:t>
      </w:r>
      <w:r>
        <w:t xml:space="preserve">and that the ordering of backbones by deficit magnitude changes with it. An</w:t>
      </w:r>
      <w:r>
        <w:t xml:space="preserve"> </w:t>
      </w:r>
      <w:r>
        <w:t xml:space="preserve">apparent non-monotone relation between capacity and deficit magnitude, visible in</w:t>
      </w:r>
      <w:r>
        <w:t xml:space="preserve"> </w:t>
      </w:r>
      <w:r>
        <w:t xml:space="preserve">the primary analysis, therefore lies within checkpoint noise. We claim only the</w:t>
      </w:r>
      <w:r>
        <w:t xml:space="preserve"> </w:t>
      </w:r>
      <w:r>
        <w:t xml:space="preserve">direction of the effect.</w:t>
      </w:r>
    </w:p>
    <w:p>
      <w:pPr>
        <w:pStyle w:val="BodyText"/>
        <w:jc w:val="both"/>
      </w:pPr>
      <w:r>
        <w:rPr>
          <w:b/>
          <w:bCs/>
        </w:rPr>
        <w:t xml:space="preserve">Boundary cells.</w:t>
      </w:r>
      <w:r>
        <w:t xml:space="preserve"> </w:t>
      </w:r>
      <w:r>
        <w:t xml:space="preserve">Coverage is a discrete proportion, so percentile intervals</w:t>
      </w:r>
      <w:r>
        <w:t xml:space="preserve"> </w:t>
      </w:r>
      <w:r>
        <w:t xml:space="preserve">can end exactly at zero. Three PTB-XL intervals for the B12−B1 difference do so.</w:t>
      </w:r>
      <w:r>
        <w:t xml:space="preserve"> </w:t>
      </w:r>
      <w:r>
        <w:t xml:space="preserve">Our pre-specified rule declares an improvement only when the lower bound is</w:t>
      </w:r>
      <w:r>
        <w:t xml:space="preserve"> </w:t>
      </w:r>
      <w:r>
        <w:rPr>
          <w:i/>
          <w:iCs/>
        </w:rPr>
        <w:t xml:space="preserve">strictly</w:t>
      </w:r>
      <w:r>
        <w:t xml:space="preserve"> </w:t>
      </w:r>
      <w:r>
        <w:t xml:space="preserve">positive, and these cells are classified accordingly; the verdict in</w:t>
      </w:r>
      <w:r>
        <w:t xml:space="preserve"> </w:t>
      </w:r>
      <w:r>
        <w:t xml:space="preserve">them rests on that strictness.</w:t>
      </w:r>
    </w:p>
    <w:p>
      <w:pPr>
        <w:pStyle w:val="BodyText"/>
        <w:jc w:val="both"/>
      </w:pPr>
      <w:r>
        <w:rPr>
          <w:b/>
          <w:bCs/>
        </w:rPr>
        <w:t xml:space="preserve">A criterion we pre-registered turned out to be near-vacuous.</w:t>
      </w:r>
      <w:r>
        <w:t xml:space="preserve"> </w:t>
      </w:r>
      <w:r>
        <w:t xml:space="preserve">Our initial test</w:t>
      </w:r>
      <w:r>
        <w:t xml:space="preserve"> </w:t>
      </w:r>
      <w:r>
        <w:t xml:space="preserve">of H0b asked whether HCP improves coverage over naive split conformal. A</w:t>
      </w:r>
      <w:r>
        <w:t xml:space="preserve"> </w:t>
      </w:r>
      <w:r>
        <w:t xml:space="preserve">permutation control showed that at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atom mechanically forces</w:t>
      </w:r>
      <w:r>
        <w:t xml:space="preserve"> </w:t>
      </w:r>
      <w:r>
        <w:t xml:space="preserve">HCP to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percentile — predicted 0.9818/0.9273/0.8727</w:t>
      </w:r>
      <w:r>
        <w:t xml:space="preserve"> </w:t>
      </w:r>
      <w:r>
        <w:t xml:space="preserve">against observed 0.9819/0.9273/0.8729. Between 81% and 107% of the apparent</w:t>
      </w:r>
      <w:r>
        <w:t xml:space="preserve"> </w:t>
      </w:r>
      <w:r>
        <w:t xml:space="preserve">improvement is mechanical and carries no information about dependence. The</w:t>
      </w:r>
      <w:r>
        <w:t xml:space="preserve"> </w:t>
      </w:r>
      <w:r>
        <w:t xml:space="preserve">criterion is withdrawn; the evidence we report instead is the deficit of naive</w:t>
      </w:r>
      <w:r>
        <w:t xml:space="preserve"> </w:t>
      </w:r>
      <w:r>
        <w:t xml:space="preserve">split conformal against a matched permuted null.</w:t>
      </w:r>
    </w:p>
    <w:p>
      <w:pPr>
        <w:pStyle w:val="BodyText"/>
        <w:jc w:val="both"/>
      </w:pPr>
      <w:r>
        <w:rPr>
          <w:b/>
          <w:bCs/>
        </w:rPr>
        <w:t xml:space="preserve">A pre-registered criterion that could not be executed as written.</w:t>
      </w:r>
      <w:r>
        <w:t xml:space="preserve"> </w:t>
      </w:r>
      <w:r>
        <w:t xml:space="preserve">The protocol</w:t>
      </w:r>
      <w:r>
        <w:t xml:space="preserve"> </w:t>
      </w:r>
      <w:r>
        <w:t xml:space="preserve">specified a Spearman correlation between design effect and coverage deviation</w:t>
      </w:r>
      <w:r>
        <w:t xml:space="preserve"> </w:t>
      </w:r>
      <w:r>
        <w:rPr>
          <w:i/>
          <w:iCs/>
        </w:rPr>
        <w:t xml:space="preserve">across datasets</w:t>
      </w:r>
      <w:r>
        <w:t xml:space="preserve">. With two datasets,</w:t>
      </w:r>
      <w:r>
        <w:t xml:space="preserve"> 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can only take the values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p</m:t>
        </m:r>
      </m:oMath>
      <w:r>
        <w:t xml:space="preserve">-value is defined. This is a defect in our own pre-registration. We</w:t>
      </w:r>
      <w:r>
        <w:t xml:space="preserve"> </w:t>
      </w:r>
      <w:r>
        <w:t xml:space="preserve">replaced it with a within-MIT-BIH test over multiple design-effect points, and</w:t>
      </w:r>
      <w:r>
        <w:t xml:space="preserve"> </w:t>
      </w:r>
      <w:r>
        <w:t xml:space="preserve">record the substitution as a deviation.</w:t>
      </w:r>
    </w:p>
    <w:bookmarkEnd w:id="74"/>
    <w:bookmarkStart w:id="75" w:name="theoretical-threats"/>
    <w:p>
      <w:pPr>
        <w:pStyle w:val="Heading2"/>
      </w:pPr>
      <w:r>
        <w:t xml:space="preserve">10.5 Theoretical threats</w:t>
      </w:r>
    </w:p>
    <w:p>
      <w:pPr>
        <w:pStyle w:val="FirstParagraph"/>
        <w:jc w:val="both"/>
      </w:pPr>
      <w:r>
        <w:rPr>
          <w:b/>
          <w:bCs/>
        </w:rPr>
        <w:t xml:space="preserve">Assumption (A) is a modelling choice.</w:t>
      </w:r>
      <w:r>
        <w:t xml:space="preserve"> </w:t>
      </w:r>
      <w:r>
        <w:t xml:space="preserve">Propositions 2 and 2′ assume a one-way</w:t>
      </w:r>
      <w:r>
        <w:t xml:space="preserve"> </w:t>
      </w:r>
      <w:r>
        <w:t xml:space="preserve">random-effects model for the score indicator. Proposition 1 and the feasibility</w:t>
      </w:r>
      <w:r>
        <w:t xml:space="preserve"> </w:t>
      </w:r>
      <w:r>
        <w:t xml:space="preserve">results of §5.2–5.3 are distribution-free and do not depend on it. We keep the two</w:t>
      </w:r>
      <w:r>
        <w:t xml:space="preserve"> </w:t>
      </w:r>
      <w:r>
        <w:t xml:space="preserve">classes of claim separated throughout.</w:t>
      </w:r>
    </w:p>
    <w:p>
      <w:pPr>
        <w:pStyle w:val="BodyText"/>
        <w:jc w:val="both"/>
      </w:pPr>
      <w:r>
        <w:t xml:space="preserve">A further gap deserves explicit treatment. Proposition 2 is stated for the ICC of</w:t>
      </w:r>
      <w:r>
        <w:t xml:space="preserve"> </w:t>
      </w:r>
      <w:r>
        <w:t xml:space="preserve">the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 whereas the dose–response analysis is</w:t>
      </w:r>
      <w:r>
        <w:t xml:space="preserve"> </w:t>
      </w:r>
      <w:r>
        <w:t xml:space="preserve">more conveniently computed on raw scores. We therefore recomputed the entire</w:t>
      </w:r>
      <w:r>
        <w:t xml:space="preserve"> </w:t>
      </w:r>
      <w:r>
        <w:t xml:space="preserve">curve using the indicator ICC at a fixed threshold. The conclusion is unchanged:</w:t>
      </w:r>
      <w:r>
        <w:t xml:space="preserve"> </w:t>
      </w:r>
      <w:r>
        <w:t xml:space="preserve">Spearman</w:t>
      </w:r>
      <w:r>
        <w:t xml:space="preserve"> </w:t>
      </w:r>
      <m:oMath>
        <m:r>
          <m:rPr>
            <m:sty m:val="p"/>
          </m:rPr>
          <m:t>+</m:t>
        </m:r>
        <m:r>
          <m:t>0.90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t>0.80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t>0.71</m:t>
        </m:r>
      </m:oMath>
      <w:r>
        <w:t xml:space="preserve">, all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against</w:t>
      </w:r>
      <w:r>
        <w:t xml:space="preserve"> </w:t>
      </w:r>
      <m:oMath>
        <m:r>
          <m:rPr>
            <m:sty m:val="p"/>
          </m:rPr>
          <m:t>+</m:t>
        </m:r>
        <m:r>
          <m:t>0.84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t>0.80</m:t>
        </m:r>
        <m:r>
          <m:rPr>
            <m:sty m:val="p"/>
          </m:rPr>
          <m:t>/</m:t>
        </m:r>
        <m:r>
          <m:rPr>
            <m:sty m:val="p"/>
          </m:rPr>
          <m:t>+</m:t>
        </m:r>
        <m:r>
          <m:t>0.85</m:t>
        </m:r>
      </m:oMath>
      <w:r>
        <w:t xml:space="preserve"> </w:t>
      </w:r>
      <w:r>
        <w:t xml:space="preserve">with raw</w:t>
      </w:r>
      <w:r>
        <w:t xml:space="preserve"> </w:t>
      </w:r>
      <w:r>
        <w:t xml:space="preserve">scores. The value of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does shift — PTB-XL falls from 0.3525 to 0.19–0.20 —</w:t>
      </w:r>
      <w:r>
        <w:t xml:space="preserve"> </w:t>
      </w:r>
      <w:r>
        <w:t xml:space="preserve">but its design effect remains</w:t>
      </w:r>
      <w:r>
        <w:t xml:space="preserve"> </w:t>
      </w:r>
      <m:oMath>
        <m:r>
          <m:rPr>
            <m:sty m:val="p"/>
          </m:rPr>
          <m:t>≈</m:t>
        </m:r>
        <m:r>
          <m:t>1.01</m:t>
        </m:r>
      </m:oMath>
      <w:r>
        <w:t xml:space="preserve"> </w:t>
      </w:r>
      <w:r>
        <w:t xml:space="preserve">and its position on the curve does</w:t>
      </w:r>
      <w:r>
        <w:t xml:space="preserve"> </w:t>
      </w:r>
      <w:r>
        <w:t xml:space="preserve">not move. The prediction survives on the quantity the theory actually specifies.</w:t>
      </w:r>
    </w:p>
    <w:p>
      <w:pPr>
        <w:pStyle w:val="BodyText"/>
        <w:jc w:val="both"/>
      </w:pPr>
      <w:r>
        <w:rPr>
          <w:b/>
          <w:bCs/>
        </w:rPr>
        <w:t xml:space="preserve">Scope of the impossibility result.</w:t>
      </w:r>
      <w:r>
        <w:t xml:space="preserve"> </w:t>
      </w:r>
      <w:r>
        <w:rPr>
          <w:i/>
          <w:iCs/>
        </w:rPr>
        <w:t xml:space="preserve">Corollary 3.2 is proved for the HCP/Dunn</w:t>
      </w:r>
      <w:r>
        <w:rPr>
          <w:i/>
          <w:iCs/>
        </w:rPr>
        <w:t xml:space="preserve"> </w:t>
      </w:r>
      <w:r>
        <w:rPr>
          <w:i/>
          <w:iCs/>
        </w:rPr>
        <w:t xml:space="preserve">family. Whether it holds for every distribution-free method that relies on</w:t>
      </w:r>
      <w:r>
        <w:rPr>
          <w:i/>
          <w:iCs/>
        </w:rPr>
        <w:t xml:space="preserve"> </w:t>
      </w:r>
      <w:r>
        <w:rPr>
          <w:i/>
          <w:iCs/>
        </w:rPr>
        <w:t xml:space="preserve">exchangeability between blocks remains an open question.</w:t>
      </w:r>
      <w:r>
        <w:t xml:space="preserve"> </w:t>
      </w:r>
      <w:r>
        <w:t xml:space="preserve">The collapse of joined</w:t>
      </w:r>
      <w:r>
        <w:t xml:space="preserve"> </w:t>
      </w:r>
      <w:r>
        <w:t xml:space="preserve">partitions into a giant component is not itself new [34]. On PTB-XL, the check is</w:t>
      </w:r>
      <w:r>
        <w:t xml:space="preserve"> </w:t>
      </w:r>
      <w:r>
        <w:t xml:space="preserve">exhaustive only with respect to the declared sources {patient, site, nurse,</w:t>
      </w:r>
      <w:r>
        <w:t xml:space="preserve"> </w:t>
      </w:r>
      <w:r>
        <w:t xml:space="preserve">device}: of the fifteen joins, eight satisfy sufficiency and all eight collapse</w:t>
      </w:r>
      <w:r>
        <w:t xml:space="preserve"> </w:t>
      </w:r>
      <w:r>
        <w:t xml:space="preserve">to a single block. That set cannot be verified from data. Restricting it to</w:t>
      </w:r>
      <w:r>
        <w:t xml:space="preserve"> </w:t>
      </w:r>
      <w:r>
        <w:t xml:space="preserve">{patient, site} yields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34</m:t>
        </m:r>
      </m:oMath>
      <w:r>
        <w:t xml:space="preserve"> </w:t>
      </w:r>
      <w:r>
        <w:t xml:space="preserve">on the full calibration fold,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becomes feasible — but 31 of those 34 blocks consist solely of 188 records (8.6%)</w:t>
      </w:r>
      <w:r>
        <w:t xml:space="preserve"> </w:t>
      </w:r>
      <w:r>
        <w:t xml:space="preserve">that lack nurse metadata and come from 37 small sites, apparently a different</w:t>
      </w:r>
      <w:r>
        <w:t xml:space="preserve"> </w:t>
      </w:r>
      <w:r>
        <w:t xml:space="preserve">collection regime. Among the 1,960 records with complete metadata, the same</w:t>
      </w:r>
      <w:r>
        <w:t xml:space="preserve"> </w:t>
      </w:r>
      <w:r>
        <w:t xml:space="preserve">restriction gives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 Feasibility under {patient, site} therefore rests on a</w:t>
      </w:r>
      <w:r>
        <w:t xml:space="preserve"> </w:t>
      </w:r>
      <w:r>
        <w:t xml:space="preserve">metadata-incomplete minority. We therefore state the</w:t>
      </w:r>
      <w:r>
        <w:t xml:space="preserve"> </w:t>
      </w:r>
      <w:r>
        <w:t xml:space="preserve">result conditionally:</w:t>
      </w:r>
      <w:r>
        <w:t xml:space="preserve"> </w:t>
      </w:r>
      <w:r>
        <w:rPr>
          <w:i/>
          <w:iCs/>
        </w:rPr>
        <w:t xml:space="preserve">if patient, site, nurse, and device are all treated as</w:t>
      </w:r>
      <w:r>
        <w:rPr>
          <w:i/>
          <w:iCs/>
        </w:rPr>
        <w:t xml:space="preserve"> </w:t>
      </w:r>
      <w:r>
        <w:rPr>
          <w:i/>
          <w:iCs/>
        </w:rPr>
        <w:t xml:space="preserve">dependence sources, no admissible calibration grouping exists at any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conventional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.</w:t>
      </w:r>
    </w:p>
    <w:p>
      <w:pPr>
        <w:pStyle w:val="BodyText"/>
        <w:jc w:val="both"/>
      </w:pPr>
      <w:r>
        <w:rPr>
          <w:b/>
          <w:bCs/>
        </w:rPr>
        <w:t xml:space="preserve">Formal proofs require statistical review.</w:t>
      </w:r>
      <w:r>
        <w:t xml:space="preserve"> </w:t>
      </w:r>
      <w:r>
        <w:t xml:space="preserve">All derivations in §5 are to be</w:t>
      </w:r>
      <w:r>
        <w:t xml:space="preserve"> </w:t>
      </w:r>
      <w:r>
        <w:t xml:space="preserve">reviewed by a statistician before submission.</w:t>
      </w:r>
    </w:p>
    <w:bookmarkEnd w:id="75"/>
    <w:bookmarkStart w:id="76" w:name="researcher-degrees-of-freedom"/>
    <w:p>
      <w:pPr>
        <w:pStyle w:val="Heading2"/>
      </w:pPr>
      <w:r>
        <w:t xml:space="preserve">10.6 Researcher degrees of freedom</w:t>
      </w:r>
    </w:p>
    <w:p>
      <w:pPr>
        <w:pStyle w:val="FirstParagraph"/>
        <w:jc w:val="both"/>
      </w:pPr>
      <w:r>
        <w:t xml:space="preserve">Our interpretation of the MIT-BIH evidence reversed three times before</w:t>
      </w:r>
      <w:r>
        <w:t xml:space="preserve"> </w:t>
      </w:r>
      <w:r>
        <w:t xml:space="preserve">stabilising. We report the sequence because the alternative — presenting only the</w:t>
      </w:r>
      <w:r>
        <w:t xml:space="preserve"> </w:t>
      </w:r>
      <w:r>
        <w:t xml:space="preserve">final position — would conceal how the conclusion was reached (Table XI).</w:t>
      </w:r>
    </w:p>
    <w:p>
      <w:pPr>
        <w:pStyle w:val="BodyText"/>
        <w:keepNext/>
        <w:spacing w:before="160"/>
        <w:jc w:val="center"/>
      </w:pPr>
      <w:r/>
      <w:r>
        <w:rPr>
          <w:sz w:val="18"/>
        </w:rPr>
        <w:t>TABLE XI</w:t>
      </w:r>
      <w:r>
        <w:br/>
      </w:r>
      <w:r>
        <w:rPr>
          <w:sz w:val="16"/>
        </w:rPr>
        <w:t>SEQUENCE OF INTERIM CONCLUSIONS ON MIT-BIH AND THE CONTROL THAT OVERTURNED EACH.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Interim conclusion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7"/>
              </w:rPr>
              <w:t xml:space="preserve">Overturned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HCP improves on naive split conformal, confirming H0b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Permutation control: 81–107% of the gap is mechanical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deficit is driven by block-size imbalance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2×2 factorial: imbalance significant in 0/3 settings, clustering in 3/3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deficit increases monotonically with ICC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PTB-XL:</w:t>
            </w:r>
            <w:r>
              <w:rPr>
                <w:sz w:val="17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0.3525</m:t>
              </m:r>
            </m:oMath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yet deficit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0.0012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deficit tracks</w:t>
            </w:r>
            <w:r>
              <w:rPr>
                <w:sz w:val="17"/>
              </w:rPr>
              <w:t xml:space="preserve"> </w:t>
            </w:r>
            <m:oMath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ρ</m:t>
              </m:r>
            </m:oMath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 stands</w:t>
            </w:r>
          </w:p>
        </w:tc>
      </w:tr>
    </w:tbl>
    <w:p>
      <w:pPr>
        <w:pStyle w:val="BodyText"/>
        <w:jc w:val="both"/>
      </w:pPr>
      <w:r>
        <w:t xml:space="preserve">Every reversal followed the addition of a control, not a reinterpretation of</w:t>
      </w:r>
      <w:r>
        <w:t xml:space="preserve"> </w:t>
      </w:r>
      <w:r>
        <w:t xml:space="preserve">existing data. Stage 2 was an error of ours: it compared results from two analyses</w:t>
      </w:r>
      <w:r>
        <w:t xml:space="preserve"> </w:t>
      </w:r>
      <w:r>
        <w:t xml:space="preserve">with different calibration sizes (approximately 24,800 beats against 16,500) and</w:t>
      </w:r>
      <w:r>
        <w:t xml:space="preserve"> </w:t>
      </w:r>
      <w:r>
        <w:t xml:space="preserve">attributed the difference to block balance.</w:t>
      </w:r>
    </w:p>
    <w:p>
      <w:pPr>
        <w:pStyle w:val="BodyText"/>
        <w:jc w:val="both"/>
      </w:pPr>
      <w:r>
        <w:t xml:space="preserve">Two deviations require explicit statement. First, the permutation control was</w:t>
      </w:r>
      <w:r>
        <w:t xml:space="preserve"> </w:t>
      </w:r>
      <w:r>
        <w:t xml:space="preserve">added post hoc, after the pre-registered criterion produced a result we</w:t>
      </w:r>
      <w:r>
        <w:t xml:space="preserve"> </w:t>
      </w:r>
      <w:r>
        <w:t xml:space="preserve">suspected was tautological. It tightened rather than relaxed the analysis: it</w:t>
      </w:r>
      <w:r>
        <w:t xml:space="preserve"> </w:t>
      </w:r>
      <w:r>
        <w:t xml:space="preserve">invalidated a criterion that had supported our hypothesis. Second, the reporting</w:t>
      </w:r>
      <w:r>
        <w:t xml:space="preserve"> </w:t>
      </w:r>
      <w:r>
        <w:t xml:space="preserve">axis was fixed after seeing the data — we tried ICC first and it failed to</w:t>
      </w:r>
      <w:r>
        <w:t xml:space="preserve"> </w:t>
      </w:r>
      <w:r>
        <w:t xml:space="preserve">unify the two datasets. We note that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ρ</m:t>
        </m:r>
      </m:oMath>
      <w:r>
        <w:t xml:space="preserve"> </w:t>
      </w:r>
      <w:r>
        <w:t xml:space="preserve">was stated as</w:t>
      </w:r>
      <w:r>
        <w:t xml:space="preserve"> </w:t>
      </w:r>
      <w:r>
        <w:t xml:space="preserve">Proposition 2′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these data were collected, and that the harmonic mean is</w:t>
      </w:r>
      <w:r>
        <w:t xml:space="preserve"> </w:t>
      </w:r>
      <w:r>
        <w:t xml:space="preserve">derived from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rather than chosen; but the decision to</w:t>
      </w:r>
      <w:r>
        <w:t xml:space="preserve"> </w:t>
      </w:r>
      <w:r>
        <w:t xml:space="preserve">report on that axis was nonetheless made with the results in view.</w:t>
      </w:r>
    </w:p>
    <w:p>
      <w:pPr>
        <w:pStyle w:val="BodyText"/>
      </w:pPr>
      <w:r>
        <w:t xml:space="preserve">A complete deviation log is maintained in the accompanying protocol.</w:t>
      </w:r>
    </w:p>
    <w:bookmarkEnd w:id="76"/>
    <w:bookmarkEnd w:id="77"/>
    <w:bookmarkStart w:id="78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[NOT YET WRITTEN]</w:t>
      </w:r>
    </w:p>
    <w:bookmarkEnd w:id="78"/>
    <w:bookmarkStart w:id="79" w:name="references"/>
    <w:p>
      <w:pPr>
        <w:pStyle w:val="Heading1"/>
      </w:pPr>
      <w:r>
        <w:t xml:space="preserve">References</w:t>
      </w:r>
    </w:p>
    <w:p>
      <w:pPr>
        <w:pStyle w:val="FirstParagraph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[1]</w:t>
        <w:tab/>
      </w:r>
      <w:r>
        <w:rPr>
          <w:i w:val="0"/>
          <w:sz w:val="18"/>
        </w:rPr>
        <w:t>R. F. Barber, E. J. Candès, A. Ramdas, and R. J. Tibshirani, “Conformal prediction beyond exchangeability,” Ann. Statist., vol. 51, no. 2, Apr. 2023, doi: 10.1214/23-aos2276.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[2]</w:t>
        <w:tab/>
      </w:r>
      <w:r>
        <w:rPr>
          <w:i w:val="0"/>
          <w:sz w:val="18"/>
        </w:rPr>
        <w:t>L. Lei and E. J. Candès, “Conformal Inference of Counterfactuals and Individual Treatment Effects,” Journal of the Royal Statistical Society Series B: Statistical Methodology, vol. 83, no. 5, pp. 911–938, Nov. 2021, doi: 10.1111/rssb.12445.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[3]</w:t>
        <w:tab/>
      </w:r>
      <w:r>
        <w:rPr>
          <w:i w:val="0"/>
          <w:sz w:val="18"/>
        </w:rPr>
        <w:t>H. Mao, R. Martin, and B. J. Reich, “Valid Model-Free Spatial Prediction,” Journal of the American Statistical Association, vol. 119, no. 546, pp. 904–914, Apr. 2024, doi: 10.1080/01621459.2022.2147531.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[4]</w:t>
        <w:tab/>
      </w:r>
      <w:r>
        <w:rPr>
          <w:i w:val="0"/>
          <w:sz w:val="18"/>
        </w:rPr>
        <w:t>R. Lunde, E. Levina, and J. Zhu, “Conformal Prediction for Network-Assisted Regression,” Journal of the American Statistical Association, vol. 120, no. 551, pp. 1633–1644, Jul. 2025, doi: 10.1080/01621459.2025.2506198.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[5]</w:t>
        <w:tab/>
      </w:r>
      <w:r>
        <w:rPr>
          <w:i w:val="0"/>
          <w:sz w:val="18"/>
        </w:rPr>
        <w:t>A. Bhattacharyya and R. F. Barber, “Group-weighted conformal prediction,” Electron. J. Statist., vol. 20, no. 1, Jan. 2026, doi: 10.1214/26-ejs2506.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[6]</w:t>
        <w:tab/>
      </w:r>
      <w:r>
        <w:rPr>
          <w:i w:val="0"/>
          <w:sz w:val="18"/>
        </w:rPr>
        <w:t>M. Fontana, G. Zeni, and S. Vantini, “Conformal prediction: A unified review of theory and new challenges,” Bernoulli, vol. 29, no. 1, Feb. 2023, doi: 10.3150/21-bej1447.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[7]</w:t>
        <w:tab/>
      </w:r>
      <w:r>
        <w:rPr>
          <w:i w:val="0"/>
          <w:sz w:val="18"/>
        </w:rPr>
        <w:t>J.-I. Seo, Y. E. Jeon, and Y. Kim, “Calibrated Mondrian conformal prediction for uncertainty quantification in spatial modeling,” Pattern Recognition, vol. 180, Dec. 2026, doi: 10.1016/j.patcog.2026.114113.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[8]</w:t>
        <w:tab/>
      </w:r>
      <w:r>
        <w:rPr>
          <w:i w:val="0"/>
          <w:sz w:val="18"/>
        </w:rPr>
        <w:t>Y. Lee, R. Barber, and R. Willett, “Distribution-free inference with hierarchical data,” ACM J. Data Sci., Mar. 2026, doi: 10.1145/3786352.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[9]</w:t>
        <w:tab/>
      </w:r>
      <w:r>
        <w:rPr>
          <w:i w:val="0"/>
          <w:sz w:val="18"/>
        </w:rPr>
        <w:t>R. F. Barber, E. J. Candès, A. Ramdas, and R. J. Tibshirani, “Predictive inference with the jackknife+,” Ann. Statist., vol. 49, no. 1, Feb. 2021, doi: 10.1214/20-aos1965.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[10]</w:t>
        <w:tab/>
      </w:r>
      <w:r>
        <w:rPr>
          <w:i w:val="0"/>
          <w:sz w:val="18"/>
        </w:rPr>
        <w:t>R. Dunn, L. Wasserman, and A. Ramdas, “Distribution-Free Prediction Sets for Two-Layer Hierarchical Models,” Journal of the American Statistical Association, vol. 118, no. 544, pp. 2491–2502, Oct. 2023, doi: 10.1080/01621459.2022.2060112.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[11]</w:t>
        <w:tab/>
      </w:r>
      <w:r>
        <w:rPr>
          <w:i w:val="0"/>
          <w:sz w:val="18"/>
        </w:rPr>
        <w:t>H. Papadopoulos, “Conformal prediction for multi-label learning: a review of methods and guarantees,” Philosophical Transactions of the Royal Society A: Mathematical, Physical and Engineering Sciences, vol. 384, no. 2327, Art. no. 20250071, Aug. 2026, doi: 10.1098/rsta.2025.0071.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[12]</w:t>
        <w:tab/>
      </w:r>
      <w:r>
        <w:rPr>
          <w:i w:val="0"/>
          <w:sz w:val="18"/>
        </w:rPr>
        <w:t>L. Maltoudoglou, A. Paisios, L. Lenc, J. Martínek, P. Král, and H. Papadopoulos, “Well-calibrated confidence measures for multi-label text classification with a large number of labels,” Pattern Recognition, vol. 122, Feb. 2022, doi: 10.1016/j.patcog.2021.108271.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>
        <w:rPr>
          <w:i/>
          <w:iCs/>
        </w:rPr>
      </w:r>
      <w:r/>
      <w:r/>
      <w:r/>
      <w:r/>
      <w:r>
        <w:rPr>
          <w:i/>
          <w:iCs/>
        </w:rPr>
      </w:r>
      <w:r/>
      <w:r>
        <w:rPr>
          <w:sz w:val="18"/>
        </w:rPr>
        <w:t>[13]</w:t>
        <w:tab/>
      </w:r>
      <w:r>
        <w:rPr>
          <w:i w:val="0"/>
          <w:sz w:val="18"/>
        </w:rPr>
        <w:t>W. Huang et al., “HmcNet: A General Approach for Hierarchical Multi-Label Classification,” IEEE Trans. Knowl. Data Eng., vol. 35, no. 9, pp. 8713–8728, Sep. 2023, doi: 10.1109/tkde.2022.3207511.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[14]</w:t>
        <w:tab/>
      </w:r>
      <w:r>
        <w:rPr>
          <w:i w:val="0"/>
          <w:sz w:val="18"/>
        </w:rPr>
        <w:t>M. Sun, J. Niu, X. Yang, Y. Gu, and W. Zhang, “CEHMR: Curriculum learning enhanced hierarchical multi-label classification for medication recommendation,” Artificial Intelligence in Medicine, vol. 143, Sep. 2023, doi: 10.1016/j.artmed.2023.102613.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[15]</w:t>
        <w:tab/>
      </w:r>
      <w:r>
        <w:rPr>
          <w:i w:val="0"/>
          <w:sz w:val="18"/>
        </w:rPr>
        <w:t>A. Baheri and M. A. Shahbazi, “Conformal prediction across scales: Finite-sample coverage with hierarchical efficiency,” Results in Applied Mathematics, vol. 26, May 2025, doi: 10.1016/j.rinam.2025.100589.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/>
      <w:r>
        <w:rPr>
          <w:sz w:val="18"/>
        </w:rPr>
        <w:t>[16]</w:t>
        <w:tab/>
      </w:r>
      <w:r>
        <w:rPr>
          <w:i w:val="0"/>
          <w:sz w:val="18"/>
        </w:rPr>
        <w:t>B. Zhang, S. Li, and O. Bastani, “Conformal Structured Prediction,” arXiv:2410.06296, Oct. 2024.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[17]</w:t>
        <w:tab/>
      </w:r>
      <w:r>
        <w:rPr>
          <w:i w:val="0"/>
          <w:sz w:val="18"/>
        </w:rPr>
        <w:t>N. Strodthoff, P. Wagner, T. Schaeffter, and W. Samek, “Deep Learning for ECG Analysis: Benchmarks and Insights from PTB-XL,” IEEE J. Biomed. Health Inform., vol. 25, no. 5, pp. 1519–1528, May 2021, doi: 10.1109/jbhi.2020.3022989.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>
        <w:rPr>
          <w:i/>
          <w:iCs/>
        </w:rPr>
      </w:r>
      <w:r/>
      <w:r/>
      <w:r/>
      <w:r/>
      <w:r>
        <w:rPr>
          <w:i/>
          <w:iCs/>
        </w:rPr>
      </w:r>
      <w:r/>
      <w:r>
        <w:rPr>
          <w:sz w:val="18"/>
        </w:rPr>
        <w:t>[18]</w:t>
        <w:tab/>
      </w:r>
      <w:r>
        <w:rPr>
          <w:i w:val="0"/>
          <w:sz w:val="18"/>
        </w:rPr>
        <w:t>P. Wagner et al., “PTB-XL, a large publicly available electrocardiography dataset,” Sci Data, vol. 7, no. 1, Art. no. 154, May 2020, doi: 10.1038/s41597-020-0495-6.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/>
      <w:r>
        <w:rPr>
          <w:sz w:val="18"/>
        </w:rPr>
        <w:t>[19]</w:t>
        <w:tab/>
      </w:r>
      <w:r>
        <w:rPr>
          <w:i w:val="0"/>
          <w:sz w:val="18"/>
        </w:rPr>
        <w:t>P. Wagner, N. Strodthoff, R.-D. Bousseljot, W. Samek, and T. Schaeffter, “PTB-XL, a large publicly available electrocardiography dataset,” PhysioNet, ver. 1.0.3, 2022, doi: 10.13026/kfzx-aw45.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[20]</w:t>
        <w:tab/>
      </w:r>
      <w:r>
        <w:rPr>
          <w:i w:val="0"/>
          <w:sz w:val="18"/>
        </w:rPr>
        <w:t>F. M. Dias, H. L. M. Monteiro, T. W. Cabral, R. Naji, M. Kuehni, and E. J. d. S. Luz, “Arrhythmia classification from single-lead ECG signals using the inter-patient paradigm,” Computer Methods and Programs in Biomedicine, vol. 202, Apr. 2021, doi: 10.1016/j.cmpb.2021.105948.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[21]</w:t>
        <w:tab/>
      </w:r>
      <w:r>
        <w:rPr>
          <w:i w:val="0"/>
          <w:sz w:val="18"/>
        </w:rPr>
        <w:t>Y. Li, R. Qian, and K. Li, “Inter-patient arrhythmia classification with improved deep residual convolutional neural network,” Computer Methods and Programs in Biomedicine, vol. 214, Feb. 2022, doi: 10.1016/j.cmpb.2021.106582.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[22]</w:t>
        <w:tab/>
      </w:r>
      <w:r>
        <w:rPr>
          <w:i w:val="0"/>
          <w:sz w:val="18"/>
        </w:rPr>
        <w:t>G. Wang, M. Chen, Z. Ding, J. Li, H. Yang, and P. Zhang, “Inter-patient ECG arrhythmia heartbeat classification based on unsupervised domain adaptation,” Neurocomputing, vol. 454, pp. 339–349, Sep. 2021, doi: 10.1016/j.neucom.2021.04.104.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[23]</w:t>
        <w:tab/>
      </w:r>
      <w:r>
        <w:rPr>
          <w:i w:val="0"/>
          <w:sz w:val="18"/>
        </w:rPr>
        <w:t>B. Lambert, F. Forbes, S. Doyle, H. Dehaene, and M. Dojat, “Trustworthy clinical AI solutions: A unified review of uncertainty quantification in Deep Learning models for medical image analysis,” Artificial Intelligence in Medicine, vol. 150, Apr. 2024, doi: 10.1016/j.artmed.2024.102830.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>
        <w:rPr>
          <w:i/>
          <w:iCs/>
        </w:rPr>
      </w:r>
      <w:r/>
      <w:r/>
      <w:r/>
      <w:r/>
      <w:r>
        <w:rPr>
          <w:i/>
          <w:iCs/>
        </w:rPr>
      </w:r>
      <w:r/>
      <w:r>
        <w:rPr>
          <w:sz w:val="18"/>
        </w:rPr>
        <w:t>[24]</w:t>
        <w:tab/>
      </w:r>
      <w:r>
        <w:rPr>
          <w:i w:val="0"/>
          <w:sz w:val="18"/>
        </w:rPr>
        <w:t>K. Lekadir et al., “FUTURE-AI: international consensus guideline for trustworthy and deployable artificial intelligence in healthcare,” BMJ, vol. 388, Art. no. e081554, Feb. 2025, doi: 10.1136/bmj-2024-081554.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[25]</w:t>
        <w:tab/>
      </w:r>
      <w:r>
        <w:rPr>
          <w:i w:val="0"/>
          <w:sz w:val="18"/>
        </w:rPr>
        <w:t>J. Vazquez and J. C. Facelli, “Conformal Prediction in Clinical Medical Sciences,” J Healthc Inform Res, vol. 6, no. 3, pp. 241–252, Sep. 2022, doi: 10.1007/s41666-021-00113-8.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[26]</w:t>
        <w:tab/>
      </w:r>
      <w:r>
        <w:rPr>
          <w:i w:val="0"/>
          <w:sz w:val="18"/>
        </w:rPr>
        <w:t>J. Jonkers, F. Coopman, L. Duchateau, G. Van Wallendael, and S. Van Hoecke, “Reliable uncertainty quantification for 2D/3D anatomical landmark localization using multi-output conformal prediction,” Medical Image Analysis, vol. 110, May 2026, doi: 10.1016/j.media.2026.103953.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[27]</w:t>
        <w:tab/>
      </w:r>
      <w:r>
        <w:rPr>
          <w:i w:val="0"/>
          <w:sz w:val="18"/>
        </w:rPr>
        <w:t>K. Tangudomkit, S. Chairat, and S. Chaichulee, “Set Prediction for Outpatient Diagnosis Coding with Sparse Mahalanobis Conformal Scoring,” BDCC, vol. 10, no. 7, Art. no. 232, Jul. 2026, doi: 10.3390/bdcc10070232.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[28]</w:t>
        <w:tab/>
      </w:r>
      <w:r>
        <w:rPr>
          <w:i w:val="0"/>
          <w:sz w:val="18"/>
        </w:rPr>
        <w:t>A. N. Angelopoulos, “Conformal risk control for non-monotonic losses,” Philosophical Transactions of the Royal Society A: Mathematical, Physical and Engineering Sciences, vol. 384, no. 2327, Art. no. 20250068, Aug. 2026, doi: 10.1098/rsta.2025.0068.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[29]</w:t>
        <w:tab/>
      </w:r>
      <w:r>
        <w:rPr>
          <w:i w:val="0"/>
          <w:sz w:val="18"/>
        </w:rPr>
        <w:t>C. Xu and Y. Xie, “Conformal Prediction for Time Series,” IEEE Trans. Pattern Anal. Mach. Intell., vol. 45, no. 10, pp. 11575–11587, Oct. 2023, doi: 10.1109/tpami.2023.3272339.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[30]</w:t>
        <w:tab/>
      </w:r>
      <w:r>
        <w:rPr>
          <w:i w:val="0"/>
          <w:sz w:val="18"/>
        </w:rPr>
        <w:t>I. R. White and J. Thomas, “Standardized mean differences in individually-randomized and cluster-randomized trials, with applications to meta-analysis,” Clinical Trials, vol. 2, no. 2, pp. 141–151, Apr. 2005, doi: 10.1191/1740774505cn081oa.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[31]</w:t>
        <w:tab/>
      </w:r>
      <w:r>
        <w:rPr>
          <w:i w:val="0"/>
          <w:sz w:val="18"/>
        </w:rPr>
        <w:t>S. M. Kerry and J. Martin Bland, “Unequal cluster sizes for trials in English and Welsh general practice: implications for sample size calculations,” Statist. Med., vol. 20, no. 3, pp. 377–390, Feb. 2001, doi: 10.1002/1097-0258(20010215)20:3&lt;377::aid-sim799&gt;3.0.co;2-n.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>
        <w:rPr>
          <w:i/>
          <w:iCs/>
        </w:rPr>
      </w:r>
      <w:r/>
      <w:r>
        <w:rPr>
          <w:sz w:val="18"/>
        </w:rPr>
        <w:t>[32]</w:t>
        <w:tab/>
      </w:r>
      <w:r>
        <w:rPr>
          <w:i w:val="0"/>
          <w:sz w:val="18"/>
        </w:rPr>
        <w:t>D. Zhan, L. Xu, Y. Ouyang, R. Sawatzky, and H. Wong, “Methods for dealing with unequal cluster sizes in cluster randomized trials: A scoping review,” PLoS ONE, vol. 16, no. 7, Art. no. e0255389, Jul. 2021, doi: 10.1371/journal.pone.0255389.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/>
      <w:r>
        <w:rPr>
          <w:sz w:val="18"/>
        </w:rPr>
        <w:t>[33]</w:t>
        <w:tab/>
      </w:r>
      <w:r>
        <w:rPr>
          <w:i w:val="0"/>
          <w:sz w:val="18"/>
        </w:rPr>
        <w:t>A. Noonan, “The Exceedance Design Effect: Effective Sample Size for Thresholds under Clustering,” arXiv:2608.21262, Aug. 2026.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/>
      <w:r>
        <w:rPr>
          <w:sz w:val="18"/>
        </w:rPr>
        <w:t>[34]</w:t>
        <w:tab/>
      </w:r>
      <w:r>
        <w:rPr>
          <w:i w:val="0"/>
          <w:sz w:val="18"/>
        </w:rPr>
        <w:t>J. Zheng and G. Xu, “A Symmetric Layer-Union Audit of Component Collapse in Hierarchical Procedural Corpora,” arXiv:2608.08892, Aug. 2026.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/>
      <w:r/>
      <w:r>
        <w:rPr>
          <w:i/>
          <w:iCs/>
        </w:rPr>
      </w:r>
      <w:r/>
      <w:r>
        <w:rPr>
          <w:sz w:val="18"/>
        </w:rPr>
        <w:t>[35]</w:t>
        <w:tab/>
      </w:r>
      <w:r>
        <w:rPr>
          <w:i w:val="0"/>
          <w:sz w:val="18"/>
        </w:rPr>
        <w:t>T. Ding, A. Angelopoulos, S. Bates, M. Jordan, and R. Tibshirani, “Class-Conditional Conformal Prediction with Many Classes,” in Advances in Neural Information Processing Systems 36, pp. 64555–64576, 2023, doi: 10.52202/075280-2817.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/>
      <w:r/>
      <w:r/>
      <w:r>
        <w:rPr>
          <w:sz w:val="18"/>
        </w:rPr>
        <w:t>[36]</w:t>
        <w:tab/>
      </w:r>
      <w:r>
        <w:rPr>
          <w:i w:val="0"/>
          <w:sz w:val="18"/>
        </w:rPr>
        <w:t>G. B. Moody and R. G. Mark, “MIT-BIH Arrhythmia Database,” PhysioNet, 1992, doi: 10.13026/C2F305.</w:t>
      </w:r>
    </w:p>
    <w:p>
      <w:pPr>
        <w:pStyle w:val="BodyText"/>
        <w:tabs>
          <w:tab w:pos="440" w:val="left"/>
        </w:tabs>
        <w:spacing w:after="40"/>
        <w:ind w:left="440" w:hanging="440"/>
        <w:jc w:val="both"/>
      </w:pPr>
      <w:r/>
      <w:r/>
      <w:r>
        <w:rPr>
          <w:i/>
          <w:iCs/>
        </w:rPr>
      </w:r>
      <w:r/>
      <w:r/>
      <w:r/>
      <w:r/>
      <w:r/>
      <w:r>
        <w:rPr>
          <w:sz w:val="18"/>
        </w:rPr>
        <w:t>[37]</w:t>
        <w:tab/>
      </w:r>
      <w:r>
        <w:rPr>
          <w:i w:val="0"/>
          <w:sz w:val="18"/>
        </w:rPr>
        <w:t>M. Reyna et al., “Will Two Do? Varying Dimensions in Electrocardiography: The PhysioNet/Computing in Cardiology Challenge 2021,” PhysioNet, ver. 1.0.3, 2022, doi: 10.13026/34va-7q14.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Times New Roman" w:hAnsi="Times New Roman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eastAsia="Times New Roman" w:hAnsi="Times New Roman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eastAsia="Times New Roman" w:hAnsi="Times New Roman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Times New Roman" w:hAnsi="Times New Roman"/>
      <w:color w:val="00000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160" w:line="240" w:lineRule="auto"/>
      <w:contextualSpacing/>
      <w:jc w:val="center"/>
    </w:pPr>
    <w:rPr>
      <w:rFonts w:ascii="Times New Roman" w:hAnsi="Times New Roman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Times New Roman" w:hAnsi="Times New Roman"/>
      <w:b/>
      <w:i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/>
      <w:b/>
      <w:i w:val="0"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/>
      <w:b w:val="0"/>
      <w:i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Times New Roman" w:hAnsi="Times New Roman"/>
      <w:b w:val="0"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eastAsia="Times New Roman" w:hAnsi="Times New Roman"/>
      <w:color w:val="000000"/>
      <w:sz w:val="18"/>
    </w:rPr>
  </w:style>
  <w:style w:customStyle="1" w:styleId="ImageCaption" w:type="paragraph">
    <w:name w:val="Image Caption"/>
    <w:basedOn w:val="Caption"/>
    <w:rPr>
      <w:rFonts w:ascii="Times New Roman" w:eastAsia="Times New Roman" w:hAnsi="Times New Roman"/>
      <w:color w:val="00000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9" Type="http://schemas.openxmlformats.org/officeDocument/2006/relationships/image" Target="media/rId49.png"/><Relationship Id="rId52" Type="http://schemas.openxmlformats.org/officeDocument/2006/relationships/image" Target="media/rId52.png"/><Relationship Id="rId56" Type="http://schemas.openxmlformats.org/officeDocument/2006/relationships/image" Target="media/rId56.png"/><Relationship Id="rId61" Type="http://schemas.openxmlformats.org/officeDocument/2006/relationships/image" Target="media/rId61.png"/><Relationship Id="rId65" Type="http://schemas.openxmlformats.org/officeDocument/2006/relationships/image" Target="media/rId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Block-Level Feasibility of Conformal Calibration on Clinical ECG Data: An Empirical Audit</dc:title>
  <dc:creator/>
  <cp:keywords/>
  <dcterms:created xsi:type="dcterms:W3CDTF">2026-10-02T09:39:19Z</dcterms:created>
  <dcterms:modified xsi:type="dcterms:W3CDTF">2026-10-02T09:39:19Z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