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Hierarchical Conformal Prediction on Clinical ECG Data: A Design-Stage Audit</w:t>
      </w:r>
    </w:p>
    <w:p>
      <w:pPr>
        <w:pStyle w:val="FirstParagraph"/>
      </w:pPr>
      <w:r>
        <w:rPr>
          <w:i/>
          <w:iCs/>
        </w:rPr>
        <w:t xml:space="preserve">Working draft for internal review — generated 2026-10-05 from commit caa9e02.</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which repeated recordings, segments and beats from one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can this guarantee be enforced when several dependence sources are declared and coverage is required per diagnosis, and does ignoring blocks cost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(primary backbone); a factorial design attributes the shortfall mainly to clustering, and a controlled dose–response experiment shows it growing with the design effect (rank correlation 0.80–0.85 over 12 configurations, 11 of them synthetic). A jackknife over subjects cannot resolve the sign of this deficit: the scarcity of blocks that limits the guarantee also limits the evidence. PTB-XL, where most patients contribute one recording, shows no deficit despite a within-patient correlation of 0.35. Most of the coverage gap between HCP and naive calibration is mechanical: 75–110% of it persists when dependence is permuted away and block sizes are kept. Clinical coverage claims should count blocks, not records, and resample subjects, not splits.</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constructions need for non-trivial prediction</w:t>
      </w:r>
      <w:r>
        <w:t xml:space="preserve"> </w:t>
      </w:r>
      <w:r>
        <w:t xml:space="preserve">sets [13]; and Sim and Kim showed for ECG monitoring that the false-alarm</w:t>
      </w:r>
      <w:r>
        <w:t xml:space="preserve"> </w:t>
      </w:r>
      <w:r>
        <w:t xml:space="preserve">guarantee of split conformal prediction counts subjects, not beats, and needs at</w:t>
      </w:r>
      <w:r>
        <w:t xml:space="preserve"> </w:t>
      </w:r>
      <w:r>
        <w:t xml:space="preserve">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clinical resources where several dependence sources cross and coverage may be</w:t>
      </w:r>
      <w:r>
        <w:t xml:space="preserve"> </w:t>
      </w:r>
      <w:r>
        <w:t xml:space="preserve">required per diagnosis, and how much of an observed coverage gap reflects</w:t>
      </w:r>
      <w:r>
        <w:t xml:space="preserve"> </w:t>
      </w:r>
      <w:r>
        <w:t xml:space="preserve">dependence rather than the method itself, remains insufficiently characterized.</w:t>
      </w:r>
      <w:r>
        <w:t xml:space="preserve"> </w:t>
      </w:r>
      <w:r>
        <w:t xml:space="preserve">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w:t>
      </w:r>
      <w:r>
        <w:t xml:space="preserve"> </w:t>
      </w:r>
      <w:r>
        <w:t xml:space="preserve">Two questions guide the audit. Can a block-level guarantee be enforced at</w:t>
      </w:r>
      <w:r>
        <w:t xml:space="preserve"> </w:t>
      </w:r>
      <w:r>
        <w:t xml:space="preserve">conventional error rates (RQ1)? Does ignoring block structure cost coverage, and</w:t>
      </w:r>
      <w:r>
        <w:t xml:space="preserve"> </w:t>
      </w:r>
      <w:r>
        <w:t xml:space="preserve">through what mechanism (RQ2)? Fig. 1 shows the two stages that answer them, RQ1</w:t>
      </w:r>
      <w:r>
        <w:t xml:space="preserve"> </w:t>
      </w:r>
      <w:r>
        <w:t xml:space="preserve">from metadata alone and RQ2 from the conformity scores of three backbones, with</w:t>
      </w:r>
      <w:r>
        <w:t xml:space="preserve"> </w:t>
      </w:r>
      <w:r>
        <w:t xml:space="preserve">the section that reports each step.</w:t>
      </w:r>
    </w:p>
    <w:p>
      <w:pPr>
        <w:pStyle w:val="CaptionedFigure"/>
        <w:jc w:val="both"/>
      </w:pPr>
      <w:r>
        <w:drawing>
          <wp:inline>
            <wp:extent cx="5029200" cy="3531333"/>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029200" cy="353133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empirical finding is checked across three backbones whose sizes differ more</w:t>
      </w:r>
      <w:r>
        <w:t xml:space="preserve"> </w:t>
      </w:r>
      <w:r>
        <w:t xml:space="preserve">than a hundredfold and across two checkpoints; resampling is always over blocks,</w:t>
      </w:r>
      <w:r>
        <w:t xml:space="preserve"> </w:t>
      </w:r>
      <w:r>
        <w:t xml:space="preserve">and the held-out PTB-XL fold remains unexamined. We keep three levels of evidence</w:t>
      </w:r>
      <w:r>
        <w:t xml:space="preserve"> </w:t>
      </w:r>
      <w:r>
        <w:t xml:space="preserve">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network dependence [19] and temporal data [20],</w:t>
      </w:r>
      <w:r>
        <w:t xml:space="preserve"> </w:t>
      </w:r>
      <w:r>
        <w:t xml:space="preserve">and conformal risk control extends the guarantee to general losses [21].</w:t>
      </w:r>
      <w:r>
        <w:t xml:space="preserve"> </w:t>
      </w:r>
      <w:r>
        <w:t xml:space="preserve">Bhattacharyya and</w:t>
      </w:r>
      <w:r>
        <w:t xml:space="preserve"> </w:t>
      </w:r>
      <w:r>
        <w:t xml:space="preserve">Barber consider groups whose membership drives the shift [22],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[23].</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[24],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[25],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[26], [27], since mixing them inflates reported</w:t>
      </w:r>
      <w:r>
        <w:t xml:space="preserve"> </w:t>
      </w:r>
      <w:r>
        <w:t xml:space="preserve">performance [28]. Clinical uses of conformal prediction are surveyed in [6]. On</w:t>
      </w:r>
      <w:r>
        <w:t xml:space="preserve"> </w:t>
      </w:r>
      <w:r>
        <w:t xml:space="preserve">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follows from</w:t>
      </w:r>
      <w:r>
        <w:t xml:space="preserve"> </w:t>
      </w:r>
      <w:r>
        <w:t xml:space="preserve">averaging</w:t>
      </w:r>
      <w:r>
        <w:t xml:space="preserve"> </w:t>
      </w:r>
      <m:oMath>
        <m:sSub>
          <m:e>
            <m:r>
              <m:t>K</m:t>
            </m:r>
          </m:e>
          <m:sub>
            <m:r>
              <m:t>1</m:t>
            </m:r>
          </m:sub>
        </m:sSub>
      </m:oMath>
      <w:r>
        <w:t xml:space="preserve"> </w:t>
      </w:r>
      <w:r>
        <w:t xml:space="preserve">independent block means with equal weights,</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[23]. In cluster-randomized trials, minimum-variance weighting of cluster</w:t>
      </w:r>
      <w:r>
        <w:t xml:space="preserve"> </w:t>
      </w:r>
      <w:r>
        <w:t xml:space="preserve">means is more efficient than equal weighting when cluster sizes vary [30], [31];</w:t>
      </w:r>
      <w:r>
        <w:t xml:space="preserve"> </w:t>
      </w:r>
      <w:r>
        <w:t xml:space="preserve">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Because the variance that governs the coverage</w:t>
      </w:r>
      <w:r>
        <w:t xml:space="preserve"> </w:t>
      </w:r>
      <w:r>
        <w:t xml:space="preserve">of a clustered threshold involves the correlation of the exceedance indicator,</w:t>
      </w:r>
      <w:r>
        <w:t xml:space="preserve"> </w:t>
      </w:r>
      <w:r>
        <w:t xml:space="preserve">which can change with the target level [23], every analysis on this axis, run</w:t>
      </w:r>
      <w:r>
        <w:t xml:space="preserve"> </w:t>
      </w:r>
      <w:r>
        <w:t xml:space="preserve">primarily with</w:t>
      </w:r>
      <w:r>
        <w:t xml:space="preserve"> </w:t>
      </w:r>
      <m:oMath>
        <m:r>
          <m:t>ρ</m:t>
        </m:r>
      </m:oMath>
      <w:r>
        <w:t xml:space="preserve"> </w:t>
      </w:r>
      <w:r>
        <w:t xml:space="preserve">estimated from conformity scores,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[32],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[34];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rPr>
          <w:i/>
          <w:iCs/>
        </w:rPr>
        <w:t xml:space="preserve">Proof.</w:t>
      </w:r>
      <w:r>
        <w:t xml:space="preserve"> </w:t>
      </w:r>
      <w:r>
        <w:t xml:space="preserve">The per-label threshold is (1) computed on the</w:t>
      </w:r>
      <w:r>
        <w:t xml:space="preserve"> </w:t>
      </w:r>
      <m:oMath>
        <m:sSub>
          <m:e>
            <m:r>
              <m:t>K</m:t>
            </m:r>
          </m:e>
          <m:sub>
            <m:r>
              <m:t>1</m:t>
            </m:r>
          </m:sub>
        </m:sSub>
        <m:r>
          <m:rPr>
            <m:sty m:val="p"/>
          </m:rPr>
          <m:t>(</m:t>
        </m:r>
        <m:r>
          <m:t>ℓ</m:t>
        </m:r>
        <m:r>
          <m:rPr>
            <m:sty m:val="p"/>
          </m:rPr>
          <m:t>)</m:t>
        </m:r>
      </m:oMath>
      <w:r>
        <w:t xml:space="preserve"> </w:t>
      </w:r>
      <w:r>
        <w:t xml:space="preserve">blocks that</w:t>
      </w:r>
      <w:r>
        <w:t xml:space="preserve"> </w:t>
      </w:r>
      <w:r>
        <w:t xml:space="preserve">contain</w:t>
      </w:r>
      <w:r>
        <w:t xml:space="preserve"> </w:t>
      </w:r>
      <m:oMath>
        <m:r>
          <m:t>ℓ</m:t>
        </m:r>
      </m:oMath>
      <w:r>
        <w:t xml:space="preserve">; Proposition 1 applies with</w:t>
      </w:r>
      <w:r>
        <w:t xml:space="preserve"> </w:t>
      </w:r>
      <m:oMath>
        <m:sSub>
          <m:e>
            <m:r>
              <m:t>K</m:t>
            </m:r>
          </m:e>
          <m:sub>
            <m:r>
              <m:t>1</m:t>
            </m:r>
          </m:sub>
        </m:sSub>
        <m:r>
          <m:rPr>
            <m:sty m:val="p"/>
          </m:rPr>
          <m:t>(</m:t>
        </m:r>
        <m:r>
          <m:t>ℓ</m:t>
        </m:r>
        <m:r>
          <m:rPr>
            <m:sty m:val="p"/>
          </m:rPr>
          <m:t>)</m:t>
        </m:r>
      </m:oMath>
      <w:r>
        <w:t xml:space="preserve"> </w:t>
      </w:r>
      <w:r>
        <w:t xml:space="preserve">in place of</w:t>
      </w:r>
      <w:r>
        <w:t xml:space="preserve"> </w:t>
      </w:r>
      <m:oMath>
        <m:sSub>
          <m:e>
            <m:r>
              <m:t>K</m:t>
            </m:r>
          </m:e>
          <m:sub>
            <m:r>
              <m:t>1</m:t>
            </m:r>
          </m:sub>
        </m:sSub>
      </m:oMath>
      <w:r>
        <w:t xml:space="preserve">. ∎</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validity does not depend on the model, so the backbone changes set</w:t>
      </w:r>
      <w:r>
        <w:t xml:space="preserve"> </w:t>
      </w:r>
      <w:r>
        <w:t xml:space="preserve">size, not coverage guarantees. The primary backbone, SmallECGNet, is a compact</w:t>
      </w:r>
      <w:r>
        <w:t xml:space="preserve"> </w:t>
      </w:r>
      <w:r>
        <w:t xml:space="preserve">1-D 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 with two 1-D residual networks of the PTB-XL</w:t>
      </w:r>
      <w:r>
        <w:t xml:space="preserve"> </w:t>
      </w:r>
      <w:r>
        <w:t xml:space="preserve">benchmark family [1], ResNet1D-34 (7,225,733 / 7,220,805 parameters) and</w:t>
      </w:r>
      <w:r>
        <w:t xml:space="preserve"> </w:t>
      </w:r>
      <w:r>
        <w:t xml:space="preserve">ResNet1D-50 (15,969,413 / 15,964,485). All three were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at</w:t>
      </w:r>
      <w:r>
        <w:t xml:space="preserve"> </w:t>
      </w:r>
      <w:r>
        <w:t xml:space="preserve">most 25 epochs on PTB-XL and 30 on MIT-BIH.</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because a</w:t>
      </w:r>
      <w:r>
        <w:t xml:space="preserve"> </w:t>
      </w:r>
      <w:r>
        <w:t xml:space="preserve">weak minority-class score enlarges sets without affecting the coverage under</w:t>
      </w:r>
      <w:r>
        <w:t xml:space="preserve"> </w:t>
      </w:r>
      <w:r>
        <w:t xml:space="preserve">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[32],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029200" cy="1512613"/>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029200" cy="1512613"/>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rPr>
          <w:cantSplit/>
        </w:trP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029200" cy="1583087"/>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029200" cy="1583087"/>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029200" cy="1741805"/>
            <wp:effectExtent b="0" l="0" r="0" t="0"/>
            <wp:docPr descr="Fig. 7. Controls used on MIT-BIH, drawn on four illustrative records (colors mark the original record of each beat; ICC values are those observed on DS2).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029200" cy="1741805"/>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ICC values are those observed on DS2).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keepNext/>
            </w:pPr>
            <w:r>
              <w:rPr>
                <w:sz w:val="17"/>
              </w:rPr>
              <w:t xml:space="preserve">SmallECGNet</w:t>
            </w:r>
          </w:p>
        </w:tc>
        <w:tc>
          <w:tcPr/>
          <w:p>
            <w:pPr>
              <w:pStyle w:val="Compact"/>
              <w:keepNext/>
            </w:pPr>
            <w:r>
              <w:rPr>
                <w:sz w:val="17"/>
              </w:rPr>
              <w:t xml:space="preserve">0.519</w:t>
            </w:r>
          </w:p>
        </w:tc>
        <w:tc>
          <w:tcPr/>
          <w:p>
            <w:pPr>
              <w:pStyle w:val="Compact"/>
              <w:keepNext/>
            </w:pPr>
            <w:r>
              <w:rPr>
                <w:sz w:val="17"/>
              </w:rPr>
              <w:t xml:space="preserve">0.10</w:t>
            </w:r>
          </w:p>
        </w:tc>
        <w:tc>
          <w:tcPr/>
          <w:p>
            <w:pPr>
              <w:pStyle w:val="Compact"/>
              <w:keepNext/>
            </w:pPr>
            <w:r>
              <w:rPr>
                <w:sz w:val="17"/>
              </w:rPr>
              <w:t xml:space="preserve">+1.49 [0.34, 2.71]</w:t>
            </w:r>
          </w:p>
        </w:tc>
        <w:tc>
          <w:tcPr/>
          <w:p>
            <w:pPr>
              <w:pStyle w:val="Compact"/>
              <w:keepNext/>
            </w:pPr>
            <w:r>
              <w:rPr>
                <w:sz w:val="17"/>
              </w:rPr>
              <w:t xml:space="preserve">+1.26 [−2.70, +5.22]</w:t>
            </w:r>
          </w:p>
        </w:tc>
        <w:tc>
          <w:tcPr/>
          <w:p>
            <w:pPr>
              <w:pStyle w:val="Compact"/>
              <w:keepNext/>
            </w:pPr>
            <w:r>
              <w:rPr>
                <w:sz w:val="17"/>
              </w:rPr>
              <w:t xml:space="preserve">0.77</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+2.21 [0.85, 3.60]</w:t>
            </w:r>
          </w:p>
        </w:tc>
        <w:tc>
          <w:tcPr/>
          <w:p>
            <w:pPr>
              <w:pStyle w:val="Compact"/>
              <w:keepNext/>
            </w:pPr>
            <w:r>
              <w:rPr>
                <w:sz w:val="17"/>
              </w:rPr>
              <w:t xml:space="preserve">+1.36 [−3.21, +5.93]</w:t>
            </w:r>
          </w:p>
        </w:tc>
        <w:tc>
          <w:tcPr/>
          <w:p>
            <w:pPr>
              <w:pStyle w:val="Compact"/>
              <w:keepNex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keepNext/>
            </w:pPr>
            <w:r>
              <w:rPr>
                <w:sz w:val="17"/>
              </w:rPr>
              <w:t xml:space="preserve">ResNet1D-34</w:t>
            </w:r>
          </w:p>
        </w:tc>
        <w:tc>
          <w:tcPr/>
          <w:p>
            <w:pPr>
              <w:pStyle w:val="Compact"/>
              <w:keepNext/>
            </w:pPr>
            <w:r>
              <w:rPr>
                <w:sz w:val="17"/>
              </w:rPr>
              <w:t xml:space="preserve">0.436</w:t>
            </w:r>
          </w:p>
        </w:tc>
        <w:tc>
          <w:tcPr/>
          <w:p>
            <w:pPr>
              <w:pStyle w:val="Compact"/>
              <w:keepNext/>
            </w:pPr>
            <w:r>
              <w:rPr>
                <w:sz w:val="17"/>
              </w:rPr>
              <w:t xml:space="preserve">0.10</w:t>
            </w:r>
          </w:p>
        </w:tc>
        <w:tc>
          <w:tcPr/>
          <w:p>
            <w:pPr>
              <w:pStyle w:val="Compact"/>
              <w:keepNext/>
            </w:pPr>
            <w:r>
              <w:rPr>
                <w:sz w:val="17"/>
              </w:rPr>
              <w:t xml:space="preserve">+1.15 [0.10, 2.23]</w:t>
            </w:r>
          </w:p>
        </w:tc>
        <w:tc>
          <w:tcPr/>
          <w:p>
            <w:pPr>
              <w:pStyle w:val="Compact"/>
              <w:keepNext/>
            </w:pPr>
            <w:r>
              <w:rPr>
                <w:sz w:val="17"/>
              </w:rPr>
              <w:t xml:space="preserve">+1.55 [−2.15, +5.26]</w:t>
            </w:r>
          </w:p>
        </w:tc>
        <w:tc>
          <w:tcPr/>
          <w:p>
            <w:pPr>
              <w:pStyle w:val="Compact"/>
              <w:keepNext/>
            </w:pPr>
            <w:r>
              <w:rPr>
                <w:sz w:val="17"/>
              </w:rPr>
              <w:t xml:space="preserve">0.59</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+1.02 [−0.16, 2.23]</w:t>
            </w:r>
          </w:p>
        </w:tc>
        <w:tc>
          <w:tcPr/>
          <w:p>
            <w:pPr>
              <w:pStyle w:val="Compact"/>
              <w:keepNext/>
            </w:pPr>
            <w:r>
              <w:rPr>
                <w:sz w:val="17"/>
              </w:rPr>
              <w:t xml:space="preserve">+1.14 [−3.36, +5.63]</w:t>
            </w:r>
          </w:p>
        </w:tc>
        <w:tc>
          <w:tcPr/>
          <w:p>
            <w:pPr>
              <w:pStyle w:val="Compact"/>
              <w:keepNex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keepNext/>
            </w:pPr>
            <w:r>
              <w:rPr>
                <w:sz w:val="17"/>
              </w:rPr>
              <w:t xml:space="preserve">ResNet1D-50</w:t>
            </w:r>
          </w:p>
        </w:tc>
        <w:tc>
          <w:tcPr/>
          <w:p>
            <w:pPr>
              <w:pStyle w:val="Compact"/>
              <w:keepNext/>
            </w:pPr>
            <w:r>
              <w:rPr>
                <w:sz w:val="17"/>
              </w:rPr>
              <w:t xml:space="preserve">0.462</w:t>
            </w:r>
          </w:p>
        </w:tc>
        <w:tc>
          <w:tcPr/>
          <w:p>
            <w:pPr>
              <w:pStyle w:val="Compact"/>
              <w:keepNext/>
            </w:pPr>
            <w:r>
              <w:rPr>
                <w:sz w:val="17"/>
              </w:rPr>
              <w:t xml:space="preserve">0.10</w:t>
            </w:r>
          </w:p>
        </w:tc>
        <w:tc>
          <w:tcPr/>
          <w:p>
            <w:pPr>
              <w:pStyle w:val="Compact"/>
              <w:keepNext/>
            </w:pPr>
            <w:r>
              <w:rPr>
                <w:sz w:val="17"/>
              </w:rPr>
              <w:t xml:space="preserve">+2.54 [1.25, 3.87]</w:t>
            </w:r>
          </w:p>
        </w:tc>
        <w:tc>
          <w:tcPr/>
          <w:p>
            <w:pPr>
              <w:pStyle w:val="Compact"/>
              <w:keepNext/>
            </w:pPr>
            <w:r>
              <w:rPr>
                <w:sz w:val="17"/>
              </w:rPr>
              <w:t xml:space="preserve">+1.72 [−3.70, +7.14]</w:t>
            </w:r>
          </w:p>
        </w:tc>
        <w:tc>
          <w:tcPr/>
          <w:p>
            <w:pPr>
              <w:pStyle w:val="Compact"/>
              <w:keepNext/>
            </w:pPr>
            <w:r>
              <w:rPr>
                <w:sz w:val="17"/>
              </w:rPr>
              <w:t xml:space="preserve">0.68</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+3.42 [1.91, 4.98]</w:t>
            </w:r>
          </w:p>
        </w:tc>
        <w:tc>
          <w:tcPr/>
          <w:p>
            <w:pPr>
              <w:pStyle w:val="Compact"/>
              <w:keepNext/>
            </w:pPr>
            <w:r>
              <w:rPr>
                <w:sz w:val="17"/>
              </w:rPr>
              <w:t xml:space="preserve">+1.83 [−3.16, +6.81]</w:t>
            </w:r>
          </w:p>
        </w:tc>
        <w:tc>
          <w:tcPr/>
          <w:p>
            <w:pPr>
              <w:pStyle w:val="Compact"/>
              <w:keepNex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029200" cy="1470258"/>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029200" cy="1470258"/>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69"/>
        <w:gridCol w:w="711"/>
        <w:gridCol w:w="1512"/>
        <w:gridCol w:w="1512"/>
        <w:gridCol w:w="1512"/>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[23].</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029200" cy="1673848"/>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029200" cy="1673848"/>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[26], [28], [27],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[21] and time-series variants [20]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merges the 1,942 fold-9 patients into 34 calibration blocks (their join, §3.3),</w:t>
      </w:r>
      <w:r>
        <w:t xml:space="preserve"> </w:t>
      </w:r>
      <w:r>
        <w:t xml:space="preserve">so</w:t>
      </w:r>
      <w:r>
        <w:t xml:space="preserve"> </w:t>
      </w:r>
      <m:oMath>
        <m:r>
          <m:t>α</m:t>
        </m:r>
        <m:r>
          <m:rPr>
            <m:sty m:val="p"/>
          </m:rPr>
          <m:t>=</m:t>
        </m:r>
        <m:r>
          <m:t>0.05</m:t>
        </m:r>
      </m:oMath>
      <w:r>
        <w:t xml:space="preserve"> </w:t>
      </w:r>
      <w:r>
        <w:t xml:space="preserve">becomes 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rPr>
          <w:i/>
          <w:iCs/>
        </w:rPr>
        <w:t xml:space="preserve">Derivation.</w:t>
      </w:r>
      <w:r>
        <w:t xml:space="preserve"> </w:t>
      </w:r>
      <w:r>
        <w:t xml:space="preserve">Under (A), each block mean</w:t>
      </w:r>
      <w:r>
        <w:t xml:space="preserve"> </w:t>
      </w:r>
      <m:oMath>
        <m:sSub>
          <m:e>
            <m:acc>
              <m:accPr>
                <m:chr m:val="‾"/>
              </m:accPr>
              <m:e>
                <m:r>
                  <m:t>F</m:t>
                </m:r>
              </m:e>
            </m:acc>
          </m:e>
          <m:sub>
            <m:r>
              <m:t>k</m:t>
            </m:r>
          </m:sub>
        </m:sSub>
        <m:r>
          <m:rPr>
            <m:sty m:val="p"/>
          </m:rPr>
          <m:t>(</m:t>
        </m:r>
        <m:r>
          <m:t>t</m:t>
        </m:r>
        <m:r>
          <m:rPr>
            <m:sty m:val="p"/>
          </m:rPr>
          <m:t>)</m:t>
        </m:r>
      </m:oMath>
      <w:r>
        <w:t xml:space="preserve"> </w:t>
      </w:r>
      <w:r>
        <w:t xml:space="preserve">and the equally weighted</w:t>
      </w:r>
      <w:r>
        <w:t xml:space="preserve"> </w:t>
      </w:r>
      <w:r>
        <w:t xml:space="preserve">average of</w:t>
      </w:r>
      <w:r>
        <w:t xml:space="preserve"> </w:t>
      </w:r>
      <m:oMath>
        <m:sSub>
          <m:e>
            <m:r>
              <m:t>K</m:t>
            </m:r>
          </m:e>
          <m:sub>
            <m:r>
              <m:t>1</m:t>
            </m:r>
          </m:sub>
        </m:sSub>
      </m:oMath>
      <w:r>
        <w:t xml:space="preserve"> </w:t>
      </w:r>
      <w:r>
        <w:t xml:space="preserve">independent blocks have variances</w:t>
      </w:r>
    </w:p>
    <w:p>
      <w:pPr>
        <w:pStyle w:val="BodyText"/>
      </w:pPr>
      <m:oMathPara>
        <m:oMathParaPr>
          <m:jc m:val="center"/>
        </m:oMathParaPr>
        <m:oMath>
          <m:r>
            <m:rPr>
              <m:sty m:val="p"/>
            </m:rPr>
            <m:t>Var</m:t>
          </m:r>
          <m:d>
            <m:dPr>
              <m:begChr m:val="("/>
              <m:sepChr m:val=""/>
              <m:endChr m:val=")"/>
              <m:grow/>
            </m:dPr>
            <m:e>
              <m:sSub>
                <m:e>
                  <m:acc>
                    <m:accPr>
                      <m:chr m:val="‾"/>
                    </m:accPr>
                    <m:e>
                      <m:r>
                        <m:t>F</m:t>
                      </m:r>
                    </m:e>
                  </m:acc>
                </m:e>
                <m:sub>
                  <m:r>
                    <m:t>k</m:t>
                  </m:r>
                </m:sub>
              </m:sSub>
              <m:r>
                <m:rPr>
                  <m:sty m:val="p"/>
                </m:rPr>
                <m:t>(</m:t>
              </m:r>
              <m:r>
                <m:t>t</m:t>
              </m:r>
              <m:r>
                <m:rPr>
                  <m:sty m:val="p"/>
                </m:rPr>
                <m:t>)</m:t>
              </m:r>
            </m:e>
          </m:d>
          <m:r>
            <m:rPr>
              <m:sty m:val="p"/>
            </m:rPr>
            <m:t>=</m:t>
          </m:r>
          <m:sSup>
            <m:e>
              <m:r>
                <m:t>σ</m:t>
              </m:r>
            </m:e>
            <m:sup>
              <m:r>
                <m:t>2</m:t>
              </m:r>
            </m:sup>
          </m:sSup>
          <m:r>
            <m:rPr>
              <m:sty m:val="p"/>
            </m:rPr>
            <m:t>(</m:t>
          </m:r>
          <m:r>
            <m:t>t</m:t>
          </m:r>
          <m:r>
            <m:rPr>
              <m:sty m:val="p"/>
            </m:rPr>
            <m:t>)</m:t>
          </m:r>
          <m:d>
            <m:dPr>
              <m:begChr m:val="["/>
              <m:sepChr m:val=""/>
              <m:endChr m:val="]"/>
              <m:grow/>
            </m:dPr>
            <m:e>
              <m:r>
                <m:t>ρ</m:t>
              </m:r>
              <m:r>
                <m:rPr>
                  <m:sty m:val="p"/>
                </m:rPr>
                <m:t>(</m:t>
              </m:r>
              <m:r>
                <m:t>t</m:t>
              </m:r>
              <m:r>
                <m:rPr>
                  <m:sty m:val="p"/>
                </m:rPr>
                <m:t>)</m:t>
              </m:r>
              <m:r>
                <m:rPr>
                  <m:sty m:val="p"/>
                </m:rPr>
                <m:t>+</m:t>
              </m:r>
              <m:f>
                <m:fPr>
                  <m:type m:val="bar"/>
                </m:fPr>
                <m:num>
                  <m:r>
                    <m:t>1</m:t>
                  </m:r>
                  <m:r>
                    <m:rPr>
                      <m:sty m:val="p"/>
                    </m:rPr>
                    <m:t>−</m:t>
                  </m:r>
                  <m:r>
                    <m:t>ρ</m:t>
                  </m:r>
                  <m:r>
                    <m:rPr>
                      <m:sty m:val="p"/>
                    </m:rPr>
                    <m:t>(</m:t>
                  </m:r>
                  <m:r>
                    <m:t>t</m:t>
                  </m:r>
                  <m:r>
                    <m:rPr>
                      <m:sty m:val="p"/>
                    </m:rPr>
                    <m:t>)</m:t>
                  </m:r>
                </m:num>
                <m:den>
                  <m:sSub>
                    <m:e>
                      <m:r>
                        <m:t>N</m:t>
                      </m:r>
                    </m:e>
                    <m:sub>
                      <m:r>
                        <m:t>k</m:t>
                      </m:r>
                    </m:sub>
                  </m:sSub>
                </m:den>
              </m:f>
            </m:e>
          </m:d>
          <m:r>
            <m:rPr>
              <m:sty m:val="p"/>
            </m:rPr>
            <m:t>,</m:t>
          </m:r>
          <m:r>
            <m:t>  </m:t>
          </m:r>
          <m:r>
            <m:rPr>
              <m:sty m:val="p"/>
            </m:rPr>
            <m:t>Var</m:t>
          </m:r>
          <m:d>
            <m:dPr>
              <m:begChr m:val="("/>
              <m:sepChr m:val=""/>
              <m:endChr m:val=")"/>
              <m:grow/>
            </m:dPr>
            <m:e>
              <m:acc>
                <m:accPr>
                  <m:chr m:val="̂"/>
                </m:accPr>
                <m:e>
                  <m:r>
                    <m:t>G</m:t>
                  </m:r>
                </m:e>
              </m:acc>
              <m:r>
                <m:rPr>
                  <m:sty m:val="p"/>
                </m:rPr>
                <m:t>(</m:t>
              </m:r>
              <m:r>
                <m:t>t</m:t>
              </m:r>
              <m:r>
                <m:rPr>
                  <m:sty m:val="p"/>
                </m:rPr>
                <m:t>)</m:t>
              </m:r>
            </m:e>
          </m:d>
          <m:r>
            <m:rPr>
              <m:sty m:val="p"/>
            </m:rPr>
            <m:t>=</m:t>
          </m:r>
          <m:f>
            <m:fPr>
              <m:type m:val="bar"/>
            </m:fPr>
            <m:num>
              <m:sSup>
                <m:e>
                  <m:r>
                    <m:t>σ</m:t>
                  </m:r>
                </m:e>
                <m:sup>
                  <m:r>
                    <m:t>2</m:t>
                  </m:r>
                </m:sup>
              </m:sSup>
              <m:r>
                <m:rPr>
                  <m:sty m:val="p"/>
                </m:rPr>
                <m:t>(</m:t>
              </m:r>
              <m:r>
                <m:t>t</m:t>
              </m:r>
              <m:r>
                <m:rPr>
                  <m:sty m:val="p"/>
                </m:rPr>
                <m:t>)</m:t>
              </m:r>
            </m:num>
            <m:den>
              <m:sSub>
                <m:e>
                  <m:r>
                    <m:t>K</m:t>
                  </m:r>
                </m:e>
                <m:sub>
                  <m:r>
                    <m:t>1</m:t>
                  </m:r>
                </m:sub>
              </m:sSub>
            </m:den>
          </m:f>
          <m:d>
            <m:dPr>
              <m:begChr m:val="["/>
              <m:sepChr m:val=""/>
              <m:endChr m:val="]"/>
              <m:grow/>
            </m:dPr>
            <m:e>
              <m:r>
                <m:t>ρ</m:t>
              </m:r>
              <m:r>
                <m:rPr>
                  <m:sty m:val="p"/>
                </m:rPr>
                <m:t>(</m:t>
              </m:r>
              <m:r>
                <m:t>t</m:t>
              </m:r>
              <m:r>
                <m:rPr>
                  <m:sty m:val="p"/>
                </m:rPr>
                <m:t>)</m:t>
              </m:r>
              <m:r>
                <m:rPr>
                  <m:sty m:val="p"/>
                </m:rPr>
                <m:t>+</m:t>
              </m:r>
              <m:f>
                <m:fPr>
                  <m:type m:val="bar"/>
                </m:fPr>
                <m:num>
                  <m:r>
                    <m:t>1</m:t>
                  </m:r>
                  <m:r>
                    <m:rPr>
                      <m:sty m:val="p"/>
                    </m:rPr>
                    <m:t>−</m:t>
                  </m:r>
                  <m:r>
                    <m:t>ρ</m:t>
                  </m:r>
                  <m:r>
                    <m:rPr>
                      <m:sty m:val="p"/>
                    </m:rPr>
                    <m:t>(</m:t>
                  </m:r>
                  <m:r>
                    <m:t>t</m:t>
                  </m:r>
                  <m:r>
                    <m:rPr>
                      <m:sty m:val="p"/>
                    </m:rPr>
                    <m:t>)</m:t>
                  </m:r>
                </m:num>
                <m:den>
                  <m:r>
                    <m:t>H</m:t>
                  </m:r>
                </m:den>
              </m:f>
            </m:e>
          </m:d>
          <m:r>
            <m:rPr>
              <m:sty m:val="p"/>
            </m:rPr>
            <m:t>,</m:t>
          </m:r>
          <m:r>
            <m:t>  </m:t>
          </m:r>
          <m:r>
            <m:rPr>
              <m:nor/>
              <m:sty m:val="p"/>
            </m:rPr>
            <m:t>(A.2)</m:t>
          </m:r>
        </m:oMath>
      </m:oMathPara>
    </w:p>
    <w:p>
      <w:pPr>
        <w:pStyle w:val="FirstParagraph"/>
        <w:jc w:val="both"/>
      </w:pPr>
      <w:r>
        <w:t xml:space="preserve">and the second form equals (A.1) because</w:t>
      </w:r>
      <w:r>
        <w:t xml:space="preserve"> </w:t>
      </w:r>
      <m:oMath>
        <m:r>
          <m:t>H</m:t>
        </m:r>
        <m:r>
          <m:rPr>
            <m:sty m:val="p"/>
          </m:rPr>
          <m:t>=</m:t>
        </m:r>
        <m:sSub>
          <m:e>
            <m:r>
              <m:t>K</m:t>
            </m:r>
          </m:e>
          <m:sub>
            <m:r>
              <m:t>1</m:t>
            </m:r>
          </m:sub>
        </m:sSub>
        <m:r>
          <m:rPr>
            <m:sty m:val="p"/>
          </m:rPr>
          <m:t>/</m:t>
        </m:r>
        <m:nary>
          <m:naryPr>
            <m:chr m:val="∑"/>
            <m:limLoc m:val="undOvr"/>
            <m:subHide m:val="off"/>
            <m:supHide m:val="on"/>
          </m:naryPr>
          <m:sub>
            <m:r>
              <m:t>k</m:t>
            </m:r>
          </m:sub>
          <m:sup>
            <m:r>
              <m:t>​</m:t>
            </m:r>
          </m:sup>
          <m:e>
            <m:sSubSup>
              <m:e>
                <m:r>
                  <m:t>N</m:t>
                </m:r>
              </m:e>
              <m:sub>
                <m:r>
                  <m:t>k</m:t>
                </m:r>
              </m:sub>
              <m:sup>
                <m:r>
                  <m:rPr>
                    <m:sty m:val="p"/>
                  </m:rPr>
                  <m:t>−</m:t>
                </m:r>
                <m:r>
                  <m:t>1</m:t>
                </m:r>
              </m:sup>
            </m:sSubSup>
          </m:e>
        </m:nary>
      </m:oMath>
      <w:r>
        <w:t xml:space="preserve">.</w:t>
      </w:r>
      <w:r>
        <w:t xml:space="preserve"> </w:t>
      </w:r>
      <w:r>
        <w:t xml:space="preserve">As</w:t>
      </w:r>
      <w:r>
        <w:t xml:space="preserve"> </w:t>
      </w:r>
      <m:oMath>
        <m:sSub>
          <m:e>
            <m:r>
              <m:t>N</m:t>
            </m:r>
          </m:e>
          <m:sub>
            <m:r>
              <m:t>k</m:t>
            </m:r>
          </m:sub>
        </m:sSub>
        <m:r>
          <m:rPr>
            <m:sty m:val="p"/>
          </m:rPr>
          <m:t>→</m:t>
        </m:r>
        <m:r>
          <m:rPr>
            <m:sty m:val="p"/>
          </m:rPr>
          <m:t>∞</m:t>
        </m:r>
      </m:oMath>
      <w:r>
        <w:t xml:space="preserve">, (A.1)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Methodological work on cluster-randomized trials compares uniform,</w:t>
      </w:r>
      <w:r>
        <w:t xml:space="preserve"> </w:t>
      </w:r>
      <w:r>
        <w:t xml:space="preserve">size-proportional and minimum-variance weighting of cluster means and finds</w:t>
      </w:r>
      <w:r>
        <w:t xml:space="preserve"> </w:t>
      </w:r>
      <w:r>
        <w:t xml:space="preserve">minimum-variance weights more efficient than uniform ones when cluster sizes vary</w:t>
      </w:r>
      <w:r>
        <w:t xml:space="preserve"> </w:t>
      </w:r>
      <w:r>
        <w:t xml:space="preserve">[30], [31]. In HCP uniform weighting cannot be replaced, so the practitioner is</w:t>
      </w:r>
      <w:r>
        <w:t xml:space="preserve"> </w:t>
      </w:r>
      <w:r>
        <w:t xml:space="preserve">tied to the less efficient of these two choices without the remedy used there.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r>
          <m:t>1</m:t>
        </m:r>
        <m:r>
          <m:rPr>
            <m:sty m:val="p"/>
          </m:rPr>
          <m:t>/</m:t>
        </m:r>
        <m:r>
          <m:t>3</m:t>
        </m:r>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r>
          <m:t>2</m:t>
        </m:r>
        <m:r>
          <m:rPr>
            <m:sty m:val="p"/>
          </m:rPr>
          <m:t>/</m:t>
        </m:r>
        <m:r>
          <m:t>3</m:t>
        </m:r>
      </m:oMath>
      <w:r>
        <w:t xml:space="preserve">. Shifting the calibration mass to</w:t>
      </w:r>
      <w:r>
        <w:t xml:space="preserve"> </w:t>
      </w:r>
      <m:oMath>
        <m:r>
          <m:rPr>
            <m:sty m:val="p"/>
          </m:rPr>
          <m:t>(</m:t>
        </m:r>
        <m:r>
          <m:t>2</m:t>
        </m:r>
        <m:r>
          <m:rPr>
            <m:sty m:val="p"/>
          </m:rPr>
          <m:t>/</m:t>
        </m:r>
        <m:r>
          <m:t>3</m:t>
        </m:r>
        <m:r>
          <m:rPr>
            <m:sty m:val="p"/>
          </m:rPr>
          <m:t>,</m:t>
        </m:r>
        <m:r>
          <m:t>0</m:t>
        </m:r>
        <m:r>
          <m:rPr>
            <m:sty m:val="p"/>
          </m:rPr>
          <m:t>)</m:t>
        </m:r>
      </m:oMath>
      <w:r>
        <w:t xml:space="preserve"> </w:t>
      </w:r>
      <w:r>
        <w:t xml:space="preserve">while leaving</w:t>
      </w:r>
      <w:r>
        <w:t xml:space="preserve"> </w:t>
      </w:r>
      <m:oMath>
        <m:r>
          <m:t>1</m:t>
        </m:r>
        <m:r>
          <m:rPr>
            <m:sty m:val="p"/>
          </m:rPr>
          <m:t>/</m:t>
        </m:r>
        <m:r>
          <m:t>3</m:t>
        </m:r>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r>
          <m:t>1</m:t>
        </m:r>
        <m:r>
          <m:rPr>
            <m:sty m:val="p"/>
          </m:rPr>
          <m:t>/</m:t>
        </m:r>
        <m:r>
          <m:t>2</m:t>
        </m:r>
        <m:r>
          <m:rPr>
            <m:sty m:val="p"/>
          </m:rPr>
          <m:t>&lt;</m:t>
        </m:r>
        <m:r>
          <m:t>2</m:t>
        </m:r>
        <m:r>
          <m:rPr>
            <m:sty m:val="p"/>
          </m:rPr>
          <m:t>/</m:t>
        </m:r>
        <m:r>
          <m:t>3</m:t>
        </m:r>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[21]</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[22]</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[23]</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Pr>
          <w:i/>
          <w:iCs/>
        </w:rPr>
      </w:r>
      <w:r/>
      <w:r>
        <w:rPr>
          <w:sz w:val="18"/>
        </w:rPr>
        <w:t>[32]</w:t>
        <w:tab/>
      </w:r>
      <w:r>
        <w:rPr>
          <w:i w:val="0"/>
          <w:sz w:val="18"/>
        </w:rPr>
        <w:t>H. Atas Guvenilir and T. Doğan, “How to approach machine learning-based prediction of drug/compound–target interactions,” J. Cheminform., vol. 15, no. 1, Art. no. 16, Feb. 2023, doi: 10.1186/s13321-023-00689-w.</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Hierarchical Conformal Prediction on Clinical ECG Data: A Design-Stage Audit</dc:title>
  <dc:creator/>
  <cp:keywords/>
  <dcterms:created xsi:type="dcterms:W3CDTF">2026-10-05T07:35:33Z</dcterms:created>
  <dcterms:modified xsi:type="dcterms:W3CDTF">2026-10-05T07:35:33Z</dcterms:modified>
</cp:coreProperties>
</file>

<file path=docProps/custom.xml><?xml version="1.0" encoding="utf-8"?>
<Properties xmlns="http://schemas.openxmlformats.org/officeDocument/2006/custom-properties" xmlns:vt="http://schemas.openxmlformats.org/officeDocument/2006/docPropsVTypes"/>
</file>