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F172A"/>
          <w:sz w:val="40"/>
        </w:rPr>
        <w:t>SentinelNet v2</w:t>
        <w:br/>
        <w:t>AI-Powered Intrusion Detection System</w:t>
      </w:r>
    </w:p>
    <w:p>
      <w:pPr>
        <w:jc w:val="center"/>
      </w:pPr>
      <w:r>
        <w:rPr>
          <w:rFonts w:ascii="Times New Roman" w:hAnsi="Times New Roman"/>
          <w:b/>
          <w:color w:val="0284C7"/>
          <w:sz w:val="32"/>
        </w:rPr>
        <w:t>Project Report</w:t>
      </w:r>
    </w:p>
    <w:p/>
    <w:tbl>
      <w:tblPr>
        <w:tblStyle w:val="TableGrid"/>
        <w:tblW w:type="auto" w:w="0"/>
        <w:jc w:val="center"/>
        <w:tblLook w:firstColumn="1" w:firstRow="1" w:lastColumn="0" w:lastRow="0" w:noHBand="0" w:noVBand="1" w:val="04A0"/>
      </w:tblPr>
      <w:tblGrid>
        <w:gridCol w:w="4896"/>
        <w:gridCol w:w="4896"/>
      </w:tblGrid>
      <w:tr>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Field</w:t>
            </w:r>
          </w:p>
        </w:tc>
        <w:tc>
          <w:tcPr>
            <w:tcW w:type="dxa" w:w="60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Details</w:t>
            </w:r>
          </w:p>
        </w:tc>
      </w:tr>
      <w:tr>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Course</w:t>
            </w:r>
          </w:p>
        </w:tc>
        <w:tc>
          <w:tcPr>
            <w:tcW w:type="dxa" w:w="60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CSE274 - Applied Machine Learning</w:t>
            </w:r>
          </w:p>
        </w:tc>
      </w:tr>
      <w:tr>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Names of Students</w:t>
            </w:r>
          </w:p>
        </w:tc>
        <w:tc>
          <w:tcPr>
            <w:tcW w:type="dxa" w:w="60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[Enter student name(s)]</w:t>
            </w:r>
          </w:p>
        </w:tc>
      </w:tr>
      <w:tr>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Roll Numbers</w:t>
            </w:r>
          </w:p>
        </w:tc>
        <w:tc>
          <w:tcPr>
            <w:tcW w:type="dxa" w:w="60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[Enter roll number(s)]</w:t>
            </w:r>
          </w:p>
        </w:tc>
      </w:tr>
      <w:tr>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Instructor Name</w:t>
            </w:r>
          </w:p>
        </w:tc>
        <w:tc>
          <w:tcPr>
            <w:tcW w:type="dxa" w:w="60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[Enter instructor name]</w:t>
            </w:r>
          </w:p>
        </w:tc>
      </w:tr>
      <w:tr>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Department / University</w:t>
            </w:r>
          </w:p>
        </w:tc>
        <w:tc>
          <w:tcPr>
            <w:tcW w:type="dxa" w:w="60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[Enter department / university]</w:t>
            </w:r>
          </w:p>
        </w:tc>
      </w:tr>
      <w:tr>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Submission Date</w:t>
            </w:r>
          </w:p>
        </w:tc>
        <w:tc>
          <w:tcPr>
            <w:tcW w:type="dxa" w:w="60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 May 2026</w:t>
            </w:r>
          </w:p>
        </w:tc>
      </w:tr>
    </w:tbl>
    <w:p>
      <w:r>
        <w:br w:type="page"/>
      </w:r>
    </w:p>
    <w:p>
      <w:pPr>
        <w:pStyle w:val="Heading1"/>
        <w:spacing w:before="200" w:after="120"/>
      </w:pPr>
      <w:r>
        <w:rPr>
          <w:rFonts w:ascii="Times New Roman" w:hAnsi="Times New Roman"/>
          <w:b/>
          <w:color w:val="0F172A"/>
          <w:sz w:val="28"/>
        </w:rPr>
        <w:t>2. Abstract</w:t>
      </w:r>
    </w:p>
    <w:p>
      <w:pPr>
        <w:spacing w:line="360" w:lineRule="auto" w:after="120"/>
      </w:pPr>
      <w:r>
        <w:rPr>
          <w:rFonts w:ascii="Times New Roman" w:hAnsi="Times New Roman"/>
          <w:sz w:val="24"/>
        </w:rPr>
        <w:t>SentinelNet v2 is a production-oriented machine learning project for network intrusion detection using the CICIDS2017 dataset. The project addresses the problem of identifying malicious network traffic at operational scale, assigning risk scores to suspicious events, and presenting results through a Security Operations Center dashboard. The system combines classical machine learning, deep learning, anomaly detection, ensemble learning, explainability, streaming inference, alert generation, and an API-backed React frontend. The final deployment uses weighted scoring for binary attack detection and stacking for multiclass attack classification. On the persisted replay artifacts, the system processed 504,472 streamed rows, produced 85,089 alert rows, achieved a binary ROC-AUC of 0.999858, and sustained approximately 546.42 rows per second during real-time replay. The project demonstrates an end-to-end applied machine learning workflow from raw data ingestion to model serving, monitoring, and alert visualization.</w:t>
      </w:r>
    </w:p>
    <w:p>
      <w:pPr>
        <w:pStyle w:val="Heading1"/>
        <w:spacing w:before="200" w:after="120"/>
      </w:pPr>
      <w:r>
        <w:rPr>
          <w:rFonts w:ascii="Times New Roman" w:hAnsi="Times New Roman"/>
          <w:b/>
          <w:color w:val="0F172A"/>
          <w:sz w:val="28"/>
        </w:rPr>
        <w:t>3. Introduction</w:t>
      </w:r>
    </w:p>
    <w:p>
      <w:pPr>
        <w:spacing w:before="120" w:after="60"/>
      </w:pPr>
      <w:r>
        <w:rPr>
          <w:rFonts w:ascii="Times New Roman" w:hAnsi="Times New Roman"/>
          <w:b/>
          <w:color w:val="1E293B"/>
          <w:sz w:val="24"/>
        </w:rPr>
        <w:t>Background of the Problem</w:t>
      </w:r>
    </w:p>
    <w:p>
      <w:pPr>
        <w:spacing w:line="360" w:lineRule="auto" w:after="120"/>
      </w:pPr>
      <w:r>
        <w:rPr>
          <w:rFonts w:ascii="Times New Roman" w:hAnsi="Times New Roman"/>
          <w:sz w:val="24"/>
        </w:rPr>
        <w:t>Modern organizations generate large volumes of network traffic, making manual inspection impractical. Intrusion Detection Systems are used to identify malicious behavior such as denial-of-service attacks, port scans, bot activity, brute-force attempts, and web attacks. Traditional signature-based systems are useful for known threats but struggle when attack patterns vary or when traffic volume is high.</w:t>
      </w:r>
    </w:p>
    <w:p>
      <w:pPr>
        <w:spacing w:before="120" w:after="60"/>
      </w:pPr>
      <w:r>
        <w:rPr>
          <w:rFonts w:ascii="Times New Roman" w:hAnsi="Times New Roman"/>
          <w:b/>
          <w:color w:val="1E293B"/>
          <w:sz w:val="24"/>
        </w:rPr>
        <w:t>Importance and Real-World Relevance</w:t>
      </w:r>
    </w:p>
    <w:p>
      <w:pPr>
        <w:spacing w:line="360" w:lineRule="auto" w:after="120"/>
      </w:pPr>
      <w:r>
        <w:rPr>
          <w:rFonts w:ascii="Times New Roman" w:hAnsi="Times New Roman"/>
          <w:sz w:val="24"/>
        </w:rPr>
        <w:t>Cybersecurity monitoring is a high-impact application of applied machine learning. A useful system must not only classify traffic, but also produce timely risk signals, explain model behavior, and support analyst workflows. SentinelNet v2 was designed as an operational SOC-style platform rather than only an offline notebook experiment.</w:t>
      </w:r>
    </w:p>
    <w:p>
      <w:pPr>
        <w:spacing w:before="120" w:after="60"/>
      </w:pPr>
      <w:r>
        <w:rPr>
          <w:rFonts w:ascii="Times New Roman" w:hAnsi="Times New Roman"/>
          <w:b/>
          <w:color w:val="1E293B"/>
          <w:sz w:val="24"/>
        </w:rPr>
        <w:t>Objective</w:t>
      </w:r>
    </w:p>
    <w:p>
      <w:pPr>
        <w:pStyle w:val="ListBullet"/>
        <w:spacing w:line="360" w:lineRule="auto" w:after="40"/>
      </w:pPr>
      <w:r>
        <w:rPr>
          <w:rFonts w:ascii="Times New Roman" w:hAnsi="Times New Roman"/>
          <w:sz w:val="24"/>
        </w:rPr>
        <w:t>Build an end-to-end AI-powered Network Intrusion Detection System.</w:t>
      </w:r>
    </w:p>
    <w:p>
      <w:pPr>
        <w:pStyle w:val="ListBullet"/>
        <w:spacing w:line="360" w:lineRule="auto" w:after="40"/>
      </w:pPr>
      <w:r>
        <w:rPr>
          <w:rFonts w:ascii="Times New Roman" w:hAnsi="Times New Roman"/>
          <w:sz w:val="24"/>
        </w:rPr>
        <w:t>Train and compare classical ML, deep-learning, anomaly, and ensemble models.</w:t>
      </w:r>
    </w:p>
    <w:p>
      <w:pPr>
        <w:pStyle w:val="ListBullet"/>
        <w:spacing w:line="360" w:lineRule="auto" w:after="40"/>
      </w:pPr>
      <w:r>
        <w:rPr>
          <w:rFonts w:ascii="Times New Roman" w:hAnsi="Times New Roman"/>
          <w:sz w:val="24"/>
        </w:rPr>
        <w:t>Replay traffic as a real-time stream and generate risk-scored alerts.</w:t>
      </w:r>
    </w:p>
    <w:p>
      <w:pPr>
        <w:pStyle w:val="ListBullet"/>
        <w:spacing w:line="360" w:lineRule="auto" w:after="40"/>
      </w:pPr>
      <w:r>
        <w:rPr>
          <w:rFonts w:ascii="Times New Roman" w:hAnsi="Times New Roman"/>
          <w:sz w:val="24"/>
        </w:rPr>
        <w:t>Expose predictions, metrics, alerts, and health checks through FastAPI.</w:t>
      </w:r>
    </w:p>
    <w:p>
      <w:pPr>
        <w:pStyle w:val="ListBullet"/>
        <w:spacing w:line="360" w:lineRule="auto" w:after="40"/>
      </w:pPr>
      <w:r>
        <w:rPr>
          <w:rFonts w:ascii="Times New Roman" w:hAnsi="Times New Roman"/>
          <w:sz w:val="24"/>
        </w:rPr>
        <w:t>Provide a professional React dashboard for SOC monitoring and manual prediction validation.</w:t>
      </w:r>
    </w:p>
    <w:p>
      <w:pPr>
        <w:pStyle w:val="Heading1"/>
        <w:spacing w:before="200" w:after="120"/>
      </w:pPr>
      <w:r>
        <w:rPr>
          <w:rFonts w:ascii="Times New Roman" w:hAnsi="Times New Roman"/>
          <w:b/>
          <w:color w:val="0F172A"/>
          <w:sz w:val="28"/>
        </w:rPr>
        <w:t>4. Problem Statement</w:t>
      </w:r>
    </w:p>
    <w:p>
      <w:pPr>
        <w:spacing w:line="360" w:lineRule="auto" w:after="120"/>
      </w:pPr>
      <w:r>
        <w:rPr>
          <w:rFonts w:ascii="Times New Roman" w:hAnsi="Times New Roman"/>
          <w:sz w:val="24"/>
        </w:rPr>
        <w:t>The project solves a supervised classification problem. Given engineered network-flow features from CICIDS2017, the system predicts whether a flow is benign or malicious and also classifies the predicted attack family. The binary task is BENIGN versus ATTACK. The multiclass task includes attack families such as DoS Hulk, DDoS, PortScan, Bot, SSH-Patator, FTP-Patator, and web attacks.</w:t>
      </w:r>
    </w:p>
    <w:tbl>
      <w:tblPr>
        <w:tblStyle w:val="TableGrid"/>
        <w:tblW w:type="auto" w:w="0"/>
        <w:jc w:val="center"/>
        <w:tblLook w:firstColumn="1" w:firstRow="1" w:lastColumn="0" w:lastRow="0" w:noHBand="0" w:noVBand="1" w:val="04A0"/>
      </w:tblPr>
      <w:tblGrid>
        <w:gridCol w:w="4896"/>
        <w:gridCol w:w="4896"/>
      </w:tblGrid>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Problem Aspect</w:t>
            </w:r>
          </w:p>
        </w:tc>
        <w:tc>
          <w:tcPr>
            <w:tcW w:type="dxa" w:w="66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Description</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Primary ML Type</w:t>
            </w:r>
          </w:p>
        </w:tc>
        <w:tc>
          <w:tcPr>
            <w:tcW w:type="dxa" w:w="66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Classification</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Binary Target</w:t>
            </w:r>
          </w:p>
        </w:tc>
        <w:tc>
          <w:tcPr>
            <w:tcW w:type="dxa" w:w="66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BENIGN or ATTACK</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Multiclass Target</w:t>
            </w:r>
          </w:p>
        </w:tc>
        <w:tc>
          <w:tcPr>
            <w:tcW w:type="dxa" w:w="66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Specific attack family or BENIGN</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Operational Output</w:t>
            </w:r>
          </w:p>
        </w:tc>
        <w:tc>
          <w:tcPr>
            <w:tcW w:type="dxa" w:w="66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Prediction, confidence, risk score, alert level, and recommended action</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End User</w:t>
            </w:r>
          </w:p>
        </w:tc>
        <w:tc>
          <w:tcPr>
            <w:tcW w:type="dxa" w:w="66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Security analyst working in a SOC environment</w:t>
            </w:r>
          </w:p>
        </w:tc>
      </w:tr>
    </w:tbl>
    <w:p>
      <w:pPr>
        <w:spacing w:after="160"/>
        <w:jc w:val="center"/>
      </w:pPr>
      <w:r>
        <w:rPr>
          <w:rFonts w:ascii="Times New Roman" w:hAnsi="Times New Roman"/>
          <w:i/>
          <w:color w:val="475569"/>
          <w:sz w:val="20"/>
        </w:rPr>
        <w:t>Table 1. Problem definition for SentinelNet v2.</w:t>
      </w:r>
    </w:p>
    <w:p>
      <w:pPr>
        <w:pStyle w:val="Heading1"/>
        <w:spacing w:before="200" w:after="120"/>
      </w:pPr>
      <w:r>
        <w:rPr>
          <w:rFonts w:ascii="Times New Roman" w:hAnsi="Times New Roman"/>
          <w:b/>
          <w:color w:val="0F172A"/>
          <w:sz w:val="28"/>
        </w:rPr>
        <w:t>5. Dataset Description</w:t>
      </w:r>
    </w:p>
    <w:p>
      <w:pPr>
        <w:spacing w:line="360" w:lineRule="auto" w:after="120"/>
      </w:pPr>
      <w:r>
        <w:rPr>
          <w:rFonts w:ascii="Times New Roman" w:hAnsi="Times New Roman"/>
          <w:sz w:val="24"/>
        </w:rPr>
        <w:t>The project uses CICIDS2017, a widely used cybersecurity dataset containing realistic benign and attack traffic collected from multiple packet capture scenarios. The repository processes multiple raw CSV files from data/raw/ and preserves source-file lineage throughout the pipeline.</w:t>
      </w:r>
    </w:p>
    <w:tbl>
      <w:tblPr>
        <w:tblStyle w:val="TableGrid"/>
        <w:tblW w:type="auto" w:w="0"/>
        <w:jc w:val="center"/>
        <w:tblLook w:firstColumn="1" w:firstRow="1" w:lastColumn="0" w:lastRow="0" w:noHBand="0" w:noVBand="1" w:val="04A0"/>
      </w:tblPr>
      <w:tblGrid>
        <w:gridCol w:w="4896"/>
        <w:gridCol w:w="4896"/>
      </w:tblGrid>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Dataset Property</w:t>
            </w:r>
          </w:p>
        </w:tc>
        <w:tc>
          <w:tcPr>
            <w:tcW w:type="dxa" w:w="590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Value</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Dataset source</w:t>
            </w:r>
          </w:p>
        </w:tc>
        <w:tc>
          <w:tcPr>
            <w:tcW w:type="dxa" w:w="590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CICIDS2017 network intrusion detection corpus</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Raw input location</w:t>
            </w:r>
          </w:p>
        </w:tc>
        <w:tc>
          <w:tcPr>
            <w:tcW w:type="dxa" w:w="590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data/raw/</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Processed stream rows</w:t>
            </w:r>
          </w:p>
        </w:tc>
        <w:tc>
          <w:tcPr>
            <w:tcW w:type="dxa" w:w="590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504,472 held-out replay rows</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Selected deployment features</w:t>
            </w:r>
          </w:p>
        </w:tc>
        <w:tc>
          <w:tcPr>
            <w:tcW w:type="dxa" w:w="590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30</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Binary target</w:t>
            </w:r>
          </w:p>
        </w:tc>
        <w:tc>
          <w:tcPr>
            <w:tcW w:type="dxa" w:w="590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label_binary</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Multiclass target</w:t>
            </w:r>
          </w:p>
        </w:tc>
        <w:tc>
          <w:tcPr>
            <w:tcW w:type="dxa" w:w="590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label_multiclass</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Primary stream artifacts</w:t>
            </w:r>
          </w:p>
        </w:tc>
        <w:tc>
          <w:tcPr>
            <w:tcW w:type="dxa" w:w="590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data/streaming/stream_predictions.csv and stream_predictions_with_alerts.csv</w:t>
            </w:r>
          </w:p>
        </w:tc>
      </w:tr>
    </w:tbl>
    <w:p>
      <w:pPr>
        <w:spacing w:after="160"/>
        <w:jc w:val="center"/>
      </w:pPr>
      <w:r>
        <w:rPr>
          <w:rFonts w:ascii="Times New Roman" w:hAnsi="Times New Roman"/>
          <w:i/>
          <w:color w:val="475569"/>
          <w:sz w:val="20"/>
        </w:rPr>
        <w:t>Table 2. Dataset and artifact summary.</w:t>
      </w:r>
    </w:p>
    <w:p>
      <w:pPr>
        <w:spacing w:before="120" w:after="60"/>
      </w:pPr>
      <w:r>
        <w:rPr>
          <w:rFonts w:ascii="Times New Roman" w:hAnsi="Times New Roman"/>
          <w:b/>
          <w:color w:val="1E293B"/>
          <w:sz w:val="24"/>
        </w:rPr>
        <w:t>Representative Feature Groups</w:t>
      </w:r>
    </w:p>
    <w:tbl>
      <w:tblPr>
        <w:tblStyle w:val="TableGrid"/>
        <w:tblW w:type="auto" w:w="0"/>
        <w:jc w:val="center"/>
        <w:tblLook w:firstColumn="1" w:firstRow="1" w:lastColumn="0" w:lastRow="0" w:noHBand="0" w:noVBand="1" w:val="04A0"/>
      </w:tblPr>
      <w:tblGrid>
        <w:gridCol w:w="3264"/>
        <w:gridCol w:w="3264"/>
        <w:gridCol w:w="3264"/>
      </w:tblGrid>
      <w:tr>
        <w:tc>
          <w:tcPr>
            <w:tcW w:type="dxa" w:w="223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Feature Group</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Examples</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Purpose</w:t>
            </w:r>
          </w:p>
        </w:tc>
      </w:tr>
      <w:tr>
        <w:tc>
          <w:tcPr>
            <w:tcW w:type="dxa" w:w="223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Packet length statistics</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packet_length_variance, max_packet_length, min_packet_length</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Capture payload and packet-size behavior.</w:t>
            </w:r>
          </w:p>
        </w:tc>
      </w:tr>
      <w:tr>
        <w:tc>
          <w:tcPr>
            <w:tcW w:type="dxa" w:w="223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Flow timing</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flow_duration, flow_iat_mean, flow_iat_std</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Represent temporal behavior of traffic flows.</w:t>
            </w:r>
          </w:p>
        </w:tc>
      </w:tr>
      <w:tr>
        <w:tc>
          <w:tcPr>
            <w:tcW w:type="dxa" w:w="223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Forward/backward packet metrics</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total_fwd_packets, bwd_packet_length_mean</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Measure directional traffic asymmetry.</w:t>
            </w:r>
          </w:p>
        </w:tc>
      </w:tr>
      <w:tr>
        <w:tc>
          <w:tcPr>
            <w:tcW w:type="dxa" w:w="223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Window and activity metrics</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init_win_bytes_backward, active_mean, active_min</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Capture TCP and activity characteristics.</w:t>
            </w:r>
          </w:p>
        </w:tc>
      </w:tr>
      <w:tr>
        <w:tc>
          <w:tcPr>
            <w:tcW w:type="dxa" w:w="223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Rolling behavior</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rolling_unique_destination_ports_w20</w:t>
            </w:r>
          </w:p>
        </w:tc>
        <w:tc>
          <w:tcPr>
            <w:tcW w:type="dxa" w:w="345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Detect scanning or repeated behavioral patterns.</w:t>
            </w:r>
          </w:p>
        </w:tc>
      </w:tr>
    </w:tbl>
    <w:p>
      <w:pPr>
        <w:spacing w:after="160"/>
        <w:jc w:val="center"/>
      </w:pPr>
      <w:r>
        <w:rPr>
          <w:rFonts w:ascii="Times New Roman" w:hAnsi="Times New Roman"/>
          <w:i/>
          <w:color w:val="475569"/>
          <w:sz w:val="20"/>
        </w:rPr>
        <w:t>Table 3. Feature groups used in the final selected feature set.</w:t>
      </w:r>
    </w:p>
    <w:p>
      <w:pPr>
        <w:pStyle w:val="Heading1"/>
        <w:spacing w:before="200" w:after="120"/>
      </w:pPr>
      <w:r>
        <w:rPr>
          <w:rFonts w:ascii="Times New Roman" w:hAnsi="Times New Roman"/>
          <w:b/>
          <w:color w:val="0F172A"/>
          <w:sz w:val="28"/>
        </w:rPr>
        <w:t>6. Data Preprocessing</w:t>
      </w:r>
    </w:p>
    <w:p>
      <w:pPr>
        <w:spacing w:line="360" w:lineRule="auto" w:after="120"/>
      </w:pPr>
      <w:r>
        <w:rPr>
          <w:rFonts w:ascii="Times New Roman" w:hAnsi="Times New Roman"/>
          <w:sz w:val="24"/>
        </w:rPr>
        <w:t>The preprocessing pipeline converts heterogeneous CICIDS2017 CSV files into model-ready data. It includes schema normalization, missing-value handling, label normalization, scaling, encoding, train/test splitting, and class-imbalance treatment. The pipeline is designed to avoid data leakage by fitting preprocessing and feature-selection steps on training data before applying them to evaluation or streaming splits.</w:t>
      </w:r>
    </w:p>
    <w:p>
      <w:pPr>
        <w:pStyle w:val="ListBullet"/>
        <w:spacing w:line="360" w:lineRule="auto" w:after="40"/>
      </w:pPr>
      <w:r>
        <w:rPr>
          <w:rFonts w:ascii="Times New Roman" w:hAnsi="Times New Roman"/>
          <w:sz w:val="24"/>
        </w:rPr>
        <w:t>Missing values and infinity values were cleaned or remediated during Phase 2.</w:t>
      </w:r>
    </w:p>
    <w:p>
      <w:pPr>
        <w:pStyle w:val="ListBullet"/>
        <w:spacing w:line="360" w:lineRule="auto" w:after="40"/>
      </w:pPr>
      <w:r>
        <w:rPr>
          <w:rFonts w:ascii="Times New Roman" w:hAnsi="Times New Roman"/>
          <w:sz w:val="24"/>
        </w:rPr>
        <w:t>Outlier-prone network values were handled through robust cleaning and numeric validation.</w:t>
      </w:r>
    </w:p>
    <w:p>
      <w:pPr>
        <w:pStyle w:val="ListBullet"/>
        <w:spacing w:line="360" w:lineRule="auto" w:after="40"/>
      </w:pPr>
      <w:r>
        <w:rPr>
          <w:rFonts w:ascii="Times New Roman" w:hAnsi="Times New Roman"/>
          <w:sz w:val="24"/>
        </w:rPr>
        <w:t>Categorical labels were normalized into binary and multiclass target encodings.</w:t>
      </w:r>
    </w:p>
    <w:p>
      <w:pPr>
        <w:pStyle w:val="ListBullet"/>
        <w:spacing w:line="360" w:lineRule="auto" w:after="40"/>
      </w:pPr>
      <w:r>
        <w:rPr>
          <w:rFonts w:ascii="Times New Roman" w:hAnsi="Times New Roman"/>
          <w:sz w:val="24"/>
        </w:rPr>
        <w:t>Feature scaling was applied for models sensitive to feature magnitude.</w:t>
      </w:r>
    </w:p>
    <w:p>
      <w:pPr>
        <w:pStyle w:val="ListBullet"/>
        <w:spacing w:line="360" w:lineRule="auto" w:after="40"/>
      </w:pPr>
      <w:r>
        <w:rPr>
          <w:rFonts w:ascii="Times New Roman" w:hAnsi="Times New Roman"/>
          <w:sz w:val="24"/>
        </w:rPr>
        <w:t>Class imbalance was addressed using task-specific balancing strategies.</w:t>
      </w:r>
    </w:p>
    <w:p>
      <w:pPr>
        <w:pStyle w:val="ListBullet"/>
        <w:spacing w:line="360" w:lineRule="auto" w:after="40"/>
      </w:pPr>
      <w:r>
        <w:rPr>
          <w:rFonts w:ascii="Times New Roman" w:hAnsi="Times New Roman"/>
          <w:sz w:val="24"/>
        </w:rPr>
        <w:t>Train/test indices were persisted to ensure repeatable downstream model evaluation.</w:t>
      </w:r>
    </w:p>
    <w:p>
      <w:pPr>
        <w:pStyle w:val="Heading1"/>
        <w:spacing w:before="200" w:after="120"/>
      </w:pPr>
      <w:r>
        <w:rPr>
          <w:rFonts w:ascii="Times New Roman" w:hAnsi="Times New Roman"/>
          <w:b/>
          <w:color w:val="0F172A"/>
          <w:sz w:val="28"/>
        </w:rPr>
        <w:t>7. Feature Engineering and Dimensionality</w:t>
      </w:r>
    </w:p>
    <w:p>
      <w:pPr>
        <w:spacing w:line="360" w:lineRule="auto" w:after="120"/>
      </w:pPr>
      <w:r>
        <w:rPr>
          <w:rFonts w:ascii="Times New Roman" w:hAnsi="Times New Roman"/>
          <w:sz w:val="24"/>
        </w:rPr>
        <w:t>Phase 5 generated statistical, behavioral, and domain-specific features from raw network-flow columns. Feature selection combined correlation analysis, mutual information ranking, and recursive feature elimination. PCA was also evaluated as part of dimensionality analysis, but the deployment system uses an interpretable selected feature set of 30 engineered features.</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Technique</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How It Was Used</w:t>
            </w:r>
          </w:p>
        </w:tc>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Outcome</w:t>
            </w:r>
          </w:p>
        </w:tc>
      </w:tr>
      <w:tr>
        <w:tc>
          <w:tcPr>
            <w:tcW w:type="dxa" w:w="24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Correlation-based removal</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Reduced redundant highly correlated predictors.</w:t>
            </w:r>
          </w:p>
        </w:tc>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Improved stability and reduced duplication.</w:t>
            </w:r>
          </w:p>
        </w:tc>
      </w:tr>
      <w:tr>
        <w:tc>
          <w:tcPr>
            <w:tcW w:type="dxa" w:w="24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Mutual information</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Ranked features by relationship with labels.</w:t>
            </w:r>
          </w:p>
        </w:tc>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Identified high-signal flow and packet features.</w:t>
            </w:r>
          </w:p>
        </w:tc>
      </w:tr>
      <w:tr>
        <w:tc>
          <w:tcPr>
            <w:tcW w:type="dxa" w:w="24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Recursive feature elimination</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Ranked features through estimator-guided selection.</w:t>
            </w:r>
          </w:p>
        </w:tc>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Produced final deployment feature subset.</w:t>
            </w:r>
          </w:p>
        </w:tc>
      </w:tr>
      <w:tr>
        <w:tc>
          <w:tcPr>
            <w:tcW w:type="dxa" w:w="24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PCA analysis</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Measured compressed variance representation.</w:t>
            </w:r>
          </w:p>
        </w:tc>
        <w:tc>
          <w:tcPr>
            <w:tcW w:type="dxa" w:w="288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Supported dimensionality understanding; not used as final serving contract.</w:t>
            </w:r>
          </w:p>
        </w:tc>
      </w:tr>
    </w:tbl>
    <w:p>
      <w:pPr>
        <w:spacing w:after="160"/>
        <w:jc w:val="center"/>
      </w:pPr>
      <w:r>
        <w:rPr>
          <w:rFonts w:ascii="Times New Roman" w:hAnsi="Times New Roman"/>
          <w:i/>
          <w:color w:val="475569"/>
          <w:sz w:val="20"/>
        </w:rPr>
        <w:t>Table 4. Feature-selection and dimensionality techniques.</w:t>
      </w:r>
    </w:p>
    <w:p>
      <w:pPr>
        <w:spacing w:before="120" w:after="60"/>
      </w:pPr>
      <w:r>
        <w:rPr>
          <w:rFonts w:ascii="Times New Roman" w:hAnsi="Times New Roman"/>
          <w:b/>
          <w:color w:val="1E293B"/>
          <w:sz w:val="24"/>
        </w:rPr>
        <w:t>Selected Deployment Features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No.</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Feature Name</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No.</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Feature Name</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packet_length_variance</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16</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fwd_iat_std</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bwd_packet_length_mean</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17</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flow_iat_std</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3</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total_length_of_fwd_packets</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18</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fwd_packet_length_std</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4</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bwd_packet_length_max</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19</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rolling_unique_destination_ports_w20</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5</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init_win_bytes_backward</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20</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bwd_iat_max</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6</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max_packet_length</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21</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forward_payload_efficiency</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7</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fwd_packet_length_max</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22</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bwd_iat_total</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8</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flow_iat_max</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23</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bwd_iat_mean</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9</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fwd_header_length</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24</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total_fwd_packets</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10</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flow_duration</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25</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burstiness_score</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11</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fwd_packet_length_mean</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26</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active_mean</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12</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fwd_iat_mean</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27</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active_min</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13</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destination_port</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28</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bwd_iat_min</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14</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flow_bytes_per_s</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29</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min_packet_length</w:t>
            </w:r>
          </w:p>
        </w:tc>
      </w:tr>
      <w:tr>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15</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flow_iat_mean</w:t>
            </w:r>
          </w:p>
        </w:tc>
        <w:tc>
          <w:tcPr>
            <w:tcW w:type="dxa" w:w="64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30</w:t>
            </w:r>
          </w:p>
        </w:tc>
        <w:tc>
          <w:tcPr>
            <w:tcW w:type="dxa" w:w="38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flow_iat_min</w:t>
            </w:r>
          </w:p>
        </w:tc>
      </w:tr>
    </w:tbl>
    <w:p>
      <w:pPr>
        <w:spacing w:after="160"/>
        <w:jc w:val="center"/>
      </w:pPr>
      <w:r>
        <w:rPr>
          <w:rFonts w:ascii="Times New Roman" w:hAnsi="Times New Roman"/>
          <w:i/>
          <w:color w:val="475569"/>
          <w:sz w:val="20"/>
        </w:rPr>
        <w:t>Table 5. Final 30 features required by the /predict API.</w:t>
      </w:r>
    </w:p>
    <w:p>
      <w:pPr>
        <w:pStyle w:val="Heading1"/>
        <w:spacing w:before="200" w:after="120"/>
      </w:pPr>
      <w:r>
        <w:rPr>
          <w:rFonts w:ascii="Times New Roman" w:hAnsi="Times New Roman"/>
          <w:b/>
          <w:color w:val="0F172A"/>
          <w:sz w:val="28"/>
        </w:rPr>
        <w:t>8. Methodology</w:t>
      </w:r>
    </w:p>
    <w:p>
      <w:pPr>
        <w:spacing w:line="360" w:lineRule="auto" w:after="120"/>
      </w:pPr>
      <w:r>
        <w:rPr>
          <w:rFonts w:ascii="Times New Roman" w:hAnsi="Times New Roman"/>
          <w:sz w:val="24"/>
        </w:rPr>
        <w:t>SentinelNet v2 follows a layered classification methodology. Classical ML models provide strong tabular baselines, deep-learning models capture nonlinear and sequential patterns, anomaly detectors add novelty sensitivity, and ensemble methods combine these signals into deployment-ready binary and multiclass predictions.</w:t>
      </w:r>
    </w:p>
    <w:p>
      <w:r>
        <w:drawing>
          <wp:inline xmlns:a="http://schemas.openxmlformats.org/drawingml/2006/main" xmlns:pic="http://schemas.openxmlformats.org/drawingml/2006/picture">
            <wp:extent cx="6035040" cy="1770278"/>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6035040" cy="1770278"/>
                    </a:xfrm>
                    <a:prstGeom prst="rect"/>
                  </pic:spPr>
                </pic:pic>
              </a:graphicData>
            </a:graphic>
          </wp:inline>
        </w:drawing>
      </w:r>
    </w:p>
    <w:p>
      <w:pPr>
        <w:spacing w:after="160"/>
        <w:jc w:val="center"/>
      </w:pPr>
      <w:r>
        <w:rPr>
          <w:rFonts w:ascii="Times New Roman" w:hAnsi="Times New Roman"/>
          <w:i/>
          <w:color w:val="475569"/>
          <w:sz w:val="20"/>
        </w:rPr>
        <w:t>Figure 1. End-to-end SentinelNet v2 workflow.</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Model Family</w:t>
            </w:r>
          </w:p>
        </w:tc>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Models Used</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Reason for Selection</w:t>
            </w:r>
          </w:p>
        </w:tc>
      </w:tr>
      <w:tr>
        <w:tc>
          <w:tcPr>
            <w:tcW w:type="dxa" w:w="21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Classical ML</w:t>
            </w:r>
          </w:p>
        </w:tc>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Logistic Regression, Random Forest, XGBoost, LightGBM</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Strong tabular baselines and interpretable feature importance.</w:t>
            </w:r>
          </w:p>
        </w:tc>
      </w:tr>
      <w:tr>
        <w:tc>
          <w:tcPr>
            <w:tcW w:type="dxa" w:w="21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Deep Learning</w:t>
            </w:r>
          </w:p>
        </w:tc>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DNN, LSTM, Autoencoder</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Capture nonlinear interactions, sequential context, and reconstruction anomalies.</w:t>
            </w:r>
          </w:p>
        </w:tc>
      </w:tr>
      <w:tr>
        <w:tc>
          <w:tcPr>
            <w:tcW w:type="dxa" w:w="21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Anomaly Detection</w:t>
            </w:r>
          </w:p>
        </w:tc>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Isolation Forest, One-Class SVM, LOF, Autoencoder scoring</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Detect unusual traffic patterns beyond supervised labels.</w:t>
            </w:r>
          </w:p>
        </w:tc>
      </w:tr>
      <w:tr>
        <w:tc>
          <w:tcPr>
            <w:tcW w:type="dxa" w:w="21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Ensemble</w:t>
            </w:r>
          </w:p>
        </w:tc>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Soft voting, weighted scoring, stacking</w:t>
            </w:r>
          </w:p>
        </w:tc>
        <w:tc>
          <w:tcPr>
            <w:tcW w:type="dxa" w:w="388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Combine complementary strengths and improve operational robustness.</w:t>
            </w:r>
          </w:p>
        </w:tc>
      </w:tr>
    </w:tbl>
    <w:p>
      <w:pPr>
        <w:spacing w:after="160"/>
        <w:jc w:val="center"/>
      </w:pPr>
      <w:r>
        <w:rPr>
          <w:rFonts w:ascii="Times New Roman" w:hAnsi="Times New Roman"/>
          <w:i/>
          <w:color w:val="475569"/>
          <w:sz w:val="20"/>
        </w:rPr>
        <w:t>Table 6. Methodology and model-selection rationale.</w:t>
      </w:r>
    </w:p>
    <w:p>
      <w:pPr>
        <w:pStyle w:val="Heading1"/>
        <w:spacing w:before="200" w:after="120"/>
      </w:pPr>
      <w:r>
        <w:rPr>
          <w:rFonts w:ascii="Times New Roman" w:hAnsi="Times New Roman"/>
          <w:b/>
          <w:color w:val="0F172A"/>
          <w:sz w:val="28"/>
        </w:rPr>
        <w:t>9. Implementation Details</w:t>
      </w:r>
    </w:p>
    <w:p>
      <w:pPr>
        <w:spacing w:line="360" w:lineRule="auto" w:after="120"/>
      </w:pPr>
      <w:r>
        <w:rPr>
          <w:rFonts w:ascii="Times New Roman" w:hAnsi="Times New Roman"/>
          <w:sz w:val="24"/>
        </w:rPr>
        <w:t>The project was implemented as a reproducible Python codebase rather than a single notebook. Each phase has dedicated modules, configuration files, logs, artifacts, and tests. The operational frontend is implemented as a Vite React application connected to the FastAPI backend through an Axios service layer and a local /api proxy.</w:t>
      </w:r>
    </w:p>
    <w:tbl>
      <w:tblPr>
        <w:tblStyle w:val="TableGrid"/>
        <w:tblW w:type="auto" w:w="0"/>
        <w:jc w:val="center"/>
        <w:tblLook w:firstColumn="1" w:firstRow="1" w:lastColumn="0" w:lastRow="0" w:noHBand="0" w:noVBand="1" w:val="04A0"/>
      </w:tblPr>
      <w:tblGrid>
        <w:gridCol w:w="4896"/>
        <w:gridCol w:w="4896"/>
      </w:tblGrid>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Category</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Tools / Libraries</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Core language</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Python</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Data processing</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NumPy, Pandas</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Machine learning</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Scikit-learn, XGBoost, LightGBM</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Deep learning</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TensorFlow / Keras</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Visualization</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Matplotlib, Seaborn, Recharts</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Backend API</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FastAPI, Uvicorn, Pydantic</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Frontend</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Vite, React, Tailwind CSS, Axios, React Router</w:t>
            </w:r>
          </w:p>
        </w:tc>
      </w:tr>
      <w:tr>
        <w:tc>
          <w:tcPr>
            <w:tcW w:type="dxa" w:w="259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Testing</w:t>
            </w:r>
          </w:p>
        </w:tc>
        <w:tc>
          <w:tcPr>
            <w:tcW w:type="dxa" w:w="67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Pytest</w:t>
            </w:r>
          </w:p>
        </w:tc>
      </w:tr>
    </w:tbl>
    <w:p>
      <w:pPr>
        <w:spacing w:after="160"/>
        <w:jc w:val="center"/>
      </w:pPr>
      <w:r>
        <w:rPr>
          <w:rFonts w:ascii="Times New Roman" w:hAnsi="Times New Roman"/>
          <w:i/>
          <w:color w:val="475569"/>
          <w:sz w:val="20"/>
        </w:rPr>
        <w:t>Table 7. Implementation tools and libraries.</w:t>
      </w:r>
    </w:p>
    <w:p>
      <w:pPr>
        <w:spacing w:before="120" w:after="60"/>
      </w:pPr>
      <w:r>
        <w:rPr>
          <w:rFonts w:ascii="Times New Roman" w:hAnsi="Times New Roman"/>
          <w:b/>
          <w:color w:val="1E293B"/>
          <w:sz w:val="24"/>
        </w:rPr>
        <w:t>Key Runtime Settings</w:t>
      </w:r>
    </w:p>
    <w:tbl>
      <w:tblPr>
        <w:tblStyle w:val="TableGrid"/>
        <w:tblW w:type="auto" w:w="0"/>
        <w:jc w:val="center"/>
        <w:tblLook w:firstColumn="1" w:firstRow="1" w:lastColumn="0" w:lastRow="0" w:noHBand="0" w:noVBand="1" w:val="04A0"/>
      </w:tblPr>
      <w:tblGrid>
        <w:gridCol w:w="4896"/>
        <w:gridCol w:w="4896"/>
      </w:tblGrid>
      <w:tr>
        <w:tc>
          <w:tcPr>
            <w:tcW w:type="dxa" w:w="3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Parameter</w:t>
            </w:r>
          </w:p>
        </w:tc>
        <w:tc>
          <w:tcPr>
            <w:tcW w:type="dxa" w:w="547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Value</w:t>
            </w:r>
          </w:p>
        </w:tc>
      </w:tr>
      <w:tr>
        <w:tc>
          <w:tcPr>
            <w:tcW w:type="dxa" w:w="3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Streaming inference batch size</w:t>
            </w:r>
          </w:p>
        </w:tc>
        <w:tc>
          <w:tcPr>
            <w:tcW w:type="dxa" w:w="547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256</w:t>
            </w:r>
          </w:p>
        </w:tc>
      </w:tr>
      <w:tr>
        <w:tc>
          <w:tcPr>
            <w:tcW w:type="dxa" w:w="3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Default API stream limit</w:t>
            </w:r>
          </w:p>
        </w:tc>
        <w:tc>
          <w:tcPr>
            <w:tcW w:type="dxa" w:w="547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1000</w:t>
            </w:r>
          </w:p>
        </w:tc>
      </w:tr>
      <w:tr>
        <w:tc>
          <w:tcPr>
            <w:tcW w:type="dxa" w:w="3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Default API alert limit</w:t>
            </w:r>
          </w:p>
        </w:tc>
        <w:tc>
          <w:tcPr>
            <w:tcW w:type="dxa" w:w="547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1000</w:t>
            </w:r>
          </w:p>
        </w:tc>
      </w:tr>
      <w:tr>
        <w:tc>
          <w:tcPr>
            <w:tcW w:type="dxa" w:w="3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Frontend live scanner batch</w:t>
            </w:r>
          </w:p>
        </w:tc>
        <w:tc>
          <w:tcPr>
            <w:tcW w:type="dxa" w:w="547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120 rows</w:t>
            </w:r>
          </w:p>
        </w:tc>
      </w:tr>
      <w:tr>
        <w:tc>
          <w:tcPr>
            <w:tcW w:type="dxa" w:w="3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API predictor preload</w:t>
            </w:r>
          </w:p>
        </w:tc>
        <w:tc>
          <w:tcPr>
            <w:tcW w:type="dxa" w:w="547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Enabled</w:t>
            </w:r>
          </w:p>
        </w:tc>
      </w:tr>
      <w:tr>
        <w:tc>
          <w:tcPr>
            <w:tcW w:type="dxa" w:w="3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Selected binary deployment variant</w:t>
            </w:r>
          </w:p>
        </w:tc>
        <w:tc>
          <w:tcPr>
            <w:tcW w:type="dxa" w:w="547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weighted_scoring</w:t>
            </w:r>
          </w:p>
        </w:tc>
      </w:tr>
      <w:tr>
        <w:tc>
          <w:tcPr>
            <w:tcW w:type="dxa" w:w="3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Selected multiclass deployment variant</w:t>
            </w:r>
          </w:p>
        </w:tc>
        <w:tc>
          <w:tcPr>
            <w:tcW w:type="dxa" w:w="547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stacking</w:t>
            </w:r>
          </w:p>
        </w:tc>
      </w:tr>
    </w:tbl>
    <w:p>
      <w:pPr>
        <w:spacing w:after="160"/>
        <w:jc w:val="center"/>
      </w:pPr>
      <w:r>
        <w:rPr>
          <w:rFonts w:ascii="Times New Roman" w:hAnsi="Times New Roman"/>
          <w:i/>
          <w:color w:val="475569"/>
          <w:sz w:val="20"/>
        </w:rPr>
        <w:t>Table 8. Important runtime and deployment parameters.</w:t>
      </w:r>
    </w:p>
    <w:p>
      <w:pPr>
        <w:pStyle w:val="Heading1"/>
        <w:spacing w:before="200" w:after="120"/>
      </w:pPr>
      <w:r>
        <w:rPr>
          <w:rFonts w:ascii="Times New Roman" w:hAnsi="Times New Roman"/>
          <w:b/>
          <w:color w:val="0F172A"/>
          <w:sz w:val="28"/>
        </w:rPr>
        <w:t>10. Model Evaluation</w:t>
      </w:r>
    </w:p>
    <w:p>
      <w:pPr>
        <w:spacing w:line="360" w:lineRule="auto" w:after="120"/>
      </w:pPr>
      <w:r>
        <w:rPr>
          <w:rFonts w:ascii="Times New Roman" w:hAnsi="Times New Roman"/>
          <w:sz w:val="24"/>
        </w:rPr>
        <w:t>The classification system was evaluated using confusion matrices, accuracy-oriented classification metrics, ROC curve behavior, and ROC-AUC. Operational replay metrics were also measured because the project is intended for streaming IDS use, not only offline classification.</w:t>
      </w:r>
    </w:p>
    <w:tbl>
      <w:tblPr>
        <w:tblStyle w:val="TableGrid"/>
        <w:tblW w:type="auto" w:w="0"/>
        <w:jc w:val="center"/>
        <w:tblLook w:firstColumn="1" w:firstRow="1" w:lastColumn="0" w:lastRow="0" w:noHBand="0" w:noVBand="1" w:val="04A0"/>
      </w:tblPr>
      <w:tblGrid>
        <w:gridCol w:w="4896"/>
        <w:gridCol w:w="4896"/>
      </w:tblGrid>
      <w:tr>
        <w:tc>
          <w:tcPr>
            <w:tcW w:type="dxa" w:w="33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Metric / Artifact</w:t>
            </w:r>
          </w:p>
        </w:tc>
        <w:tc>
          <w:tcPr>
            <w:tcW w:type="dxa" w:w="56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Reported Result</w:t>
            </w:r>
          </w:p>
        </w:tc>
      </w:tr>
      <w:tr>
        <w:tc>
          <w:tcPr>
            <w:tcW w:type="dxa" w:w="33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Binary ROC-AUC</w:t>
            </w:r>
          </w:p>
        </w:tc>
        <w:tc>
          <w:tcPr>
            <w:tcW w:type="dxa" w:w="56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0.999858</w:t>
            </w:r>
          </w:p>
        </w:tc>
      </w:tr>
      <w:tr>
        <w:tc>
          <w:tcPr>
            <w:tcW w:type="dxa" w:w="33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Streamed replay rows</w:t>
            </w:r>
          </w:p>
        </w:tc>
        <w:tc>
          <w:tcPr>
            <w:tcW w:type="dxa" w:w="56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504,472</w:t>
            </w:r>
          </w:p>
        </w:tc>
      </w:tr>
      <w:tr>
        <w:tc>
          <w:tcPr>
            <w:tcW w:type="dxa" w:w="33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Alert rows written</w:t>
            </w:r>
          </w:p>
        </w:tc>
        <w:tc>
          <w:tcPr>
            <w:tcW w:type="dxa" w:w="56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85,089</w:t>
            </w:r>
          </w:p>
        </w:tc>
      </w:tr>
      <w:tr>
        <w:tc>
          <w:tcPr>
            <w:tcW w:type="dxa" w:w="33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Attack alerts</w:t>
            </w:r>
          </w:p>
        </w:tc>
        <w:tc>
          <w:tcPr>
            <w:tcW w:type="dxa" w:w="56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63,225</w:t>
            </w:r>
          </w:p>
        </w:tc>
      </w:tr>
      <w:tr>
        <w:tc>
          <w:tcPr>
            <w:tcW w:type="dxa" w:w="33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Average batch latency</w:t>
            </w:r>
          </w:p>
        </w:tc>
        <w:tc>
          <w:tcPr>
            <w:tcW w:type="dxa" w:w="56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909.28 ms</w:t>
            </w:r>
          </w:p>
        </w:tc>
      </w:tr>
      <w:tr>
        <w:tc>
          <w:tcPr>
            <w:tcW w:type="dxa" w:w="3312"/>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Throughput</w:t>
            </w:r>
          </w:p>
        </w:tc>
        <w:tc>
          <w:tcPr>
            <w:tcW w:type="dxa" w:w="5616"/>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546.42 rows/sec</w:t>
            </w:r>
          </w:p>
        </w:tc>
      </w:tr>
    </w:tbl>
    <w:p>
      <w:pPr>
        <w:spacing w:after="160"/>
        <w:jc w:val="center"/>
      </w:pPr>
      <w:r>
        <w:rPr>
          <w:rFonts w:ascii="Times New Roman" w:hAnsi="Times New Roman"/>
          <w:i/>
          <w:color w:val="475569"/>
          <w:sz w:val="20"/>
        </w:rPr>
        <w:t>Table 9. Evaluation and replay summary.</w:t>
      </w:r>
    </w:p>
    <w:p>
      <w:r>
        <w:drawing>
          <wp:inline xmlns:a="http://schemas.openxmlformats.org/drawingml/2006/main" xmlns:pic="http://schemas.openxmlformats.org/drawingml/2006/picture">
            <wp:extent cx="5303520" cy="2989257"/>
            <wp:docPr id="2" name="Picture 2"/>
            <wp:cNvGraphicFramePr>
              <a:graphicFrameLocks noChangeAspect="1"/>
            </wp:cNvGraphicFramePr>
            <a:graphic>
              <a:graphicData uri="http://schemas.openxmlformats.org/drawingml/2006/picture">
                <pic:pic>
                  <pic:nvPicPr>
                    <pic:cNvPr id="0" name="roc_curve.png"/>
                    <pic:cNvPicPr/>
                  </pic:nvPicPr>
                  <pic:blipFill>
                    <a:blip r:embed="rId10"/>
                    <a:stretch>
                      <a:fillRect/>
                    </a:stretch>
                  </pic:blipFill>
                  <pic:spPr>
                    <a:xfrm>
                      <a:off x="0" y="0"/>
                      <a:ext cx="5303520" cy="2989257"/>
                    </a:xfrm>
                    <a:prstGeom prst="rect"/>
                  </pic:spPr>
                </pic:pic>
              </a:graphicData>
            </a:graphic>
          </wp:inline>
        </w:drawing>
      </w:r>
    </w:p>
    <w:p>
      <w:pPr>
        <w:spacing w:after="160"/>
        <w:jc w:val="center"/>
      </w:pPr>
      <w:r>
        <w:rPr>
          <w:rFonts w:ascii="Times New Roman" w:hAnsi="Times New Roman"/>
          <w:i/>
          <w:color w:val="475569"/>
          <w:sz w:val="20"/>
        </w:rPr>
        <w:t>Figure 2. ROC curve summary for binary attack detection.</w:t>
      </w:r>
    </w:p>
    <w:p>
      <w:pPr>
        <w:pStyle w:val="Heading1"/>
        <w:spacing w:before="200" w:after="120"/>
      </w:pPr>
      <w:r>
        <w:rPr>
          <w:rFonts w:ascii="Times New Roman" w:hAnsi="Times New Roman"/>
          <w:b/>
          <w:color w:val="0F172A"/>
          <w:sz w:val="28"/>
        </w:rPr>
        <w:t>11. Results and Visualization</w:t>
      </w:r>
    </w:p>
    <w:p>
      <w:pPr>
        <w:spacing w:line="360" w:lineRule="auto" w:after="120"/>
      </w:pPr>
      <w:r>
        <w:rPr>
          <w:rFonts w:ascii="Times New Roman" w:hAnsi="Times New Roman"/>
          <w:sz w:val="24"/>
        </w:rPr>
        <w:t>The final deployment artifacts show strong attack-detection quality and practical streaming performance. The React SOC dashboard visualizes KPIs, live events, real-time attack alerts, alert distributions, model insights, and system health. The dashboard is connected to real FastAPI responses and does not use fake telemetry.</w:t>
      </w:r>
    </w:p>
    <w:p>
      <w:r>
        <w:drawing>
          <wp:inline xmlns:a="http://schemas.openxmlformats.org/drawingml/2006/main" xmlns:pic="http://schemas.openxmlformats.org/drawingml/2006/picture">
            <wp:extent cx="5669280" cy="2929128"/>
            <wp:docPr id="3" name="Picture 3"/>
            <wp:cNvGraphicFramePr>
              <a:graphicFrameLocks noChangeAspect="1"/>
            </wp:cNvGraphicFramePr>
            <a:graphic>
              <a:graphicData uri="http://schemas.openxmlformats.org/drawingml/2006/picture">
                <pic:pic>
                  <pic:nvPicPr>
                    <pic:cNvPr id="0" name="alert_distribution.png"/>
                    <pic:cNvPicPr/>
                  </pic:nvPicPr>
                  <pic:blipFill>
                    <a:blip r:embed="rId11"/>
                    <a:stretch>
                      <a:fillRect/>
                    </a:stretch>
                  </pic:blipFill>
                  <pic:spPr>
                    <a:xfrm>
                      <a:off x="0" y="0"/>
                      <a:ext cx="5669280" cy="2929128"/>
                    </a:xfrm>
                    <a:prstGeom prst="rect"/>
                  </pic:spPr>
                </pic:pic>
              </a:graphicData>
            </a:graphic>
          </wp:inline>
        </w:drawing>
      </w:r>
    </w:p>
    <w:p>
      <w:pPr>
        <w:spacing w:after="160"/>
        <w:jc w:val="center"/>
      </w:pPr>
      <w:r>
        <w:rPr>
          <w:rFonts w:ascii="Times New Roman" w:hAnsi="Times New Roman"/>
          <w:i/>
          <w:color w:val="475569"/>
          <w:sz w:val="20"/>
        </w:rPr>
        <w:t>Figure 3. Alert-level distribution from Phase 12.</w:t>
      </w:r>
    </w:p>
    <w:p>
      <w:r>
        <w:drawing>
          <wp:inline xmlns:a="http://schemas.openxmlformats.org/drawingml/2006/main" xmlns:pic="http://schemas.openxmlformats.org/drawingml/2006/picture">
            <wp:extent cx="5669280" cy="2929128"/>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669280" cy="2929128"/>
                    </a:xfrm>
                    <a:prstGeom prst="rect"/>
                  </pic:spPr>
                </pic:pic>
              </a:graphicData>
            </a:graphic>
          </wp:inline>
        </w:drawing>
      </w:r>
    </w:p>
    <w:p>
      <w:pPr>
        <w:spacing w:after="160"/>
        <w:jc w:val="center"/>
      </w:pPr>
      <w:r>
        <w:rPr>
          <w:rFonts w:ascii="Times New Roman" w:hAnsi="Times New Roman"/>
          <w:i/>
          <w:color w:val="475569"/>
          <w:sz w:val="20"/>
        </w:rPr>
        <w:t>Figure 4. Model-family comparison summary.</w:t>
      </w:r>
    </w:p>
    <w:tbl>
      <w:tblPr>
        <w:tblStyle w:val="TableGrid"/>
        <w:tblW w:type="auto" w:w="0"/>
        <w:jc w:val="center"/>
        <w:tblLook w:firstColumn="1" w:firstRow="1" w:lastColumn="0" w:lastRow="0" w:noHBand="0" w:noVBand="1" w:val="04A0"/>
      </w:tblPr>
      <w:tblGrid>
        <w:gridCol w:w="4896"/>
        <w:gridCol w:w="4896"/>
      </w:tblGrid>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Output</w:t>
            </w:r>
          </w:p>
        </w:tc>
        <w:tc>
          <w:tcPr>
            <w:tcW w:type="dxa" w:w="5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shd w:fill="D9EAF7"/>
          </w:tcPr>
          <w:p>
            <w:pPr>
              <w:spacing w:line="276" w:lineRule="auto"/>
            </w:pPr>
            <w:r>
              <w:rPr>
                <w:rFonts w:ascii="Times New Roman" w:hAnsi="Times New Roman"/>
                <w:b/>
                <w:color w:val="0F172A"/>
                <w:sz w:val="21"/>
              </w:rPr>
              <w:t>Value</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Normal rows</w:t>
            </w:r>
          </w:p>
        </w:tc>
        <w:tc>
          <w:tcPr>
            <w:tcW w:type="dxa" w:w="5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419,383</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Suspicious alerts</w:t>
            </w:r>
          </w:p>
        </w:tc>
        <w:tc>
          <w:tcPr>
            <w:tcW w:type="dxa" w:w="5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21,864</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Attack alerts</w:t>
            </w:r>
          </w:p>
        </w:tc>
        <w:tc>
          <w:tcPr>
            <w:tcW w:type="dxa" w:w="5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63,225</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Maximum risk score</w:t>
            </w:r>
          </w:p>
        </w:tc>
        <w:tc>
          <w:tcPr>
            <w:tcW w:type="dxa" w:w="5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84.67</w:t>
            </w:r>
          </w:p>
        </w:tc>
      </w:tr>
      <w:tr>
        <w:tc>
          <w:tcPr>
            <w:tcW w:type="dxa" w:w="316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Dominant attack families</w:t>
            </w:r>
          </w:p>
        </w:tc>
        <w:tc>
          <w:tcPr>
            <w:tcW w:type="dxa" w:w="5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90" w:type="dxa"/>
              <w:start w:w="90" w:type="dxa"/>
              <w:bottom w:w="90" w:type="dxa"/>
              <w:end w:w="90" w:type="dxa"/>
            </w:tcMar>
          </w:tcPr>
          <w:p>
            <w:pPr>
              <w:spacing w:line="276" w:lineRule="auto"/>
            </w:pPr>
            <w:r>
              <w:rPr>
                <w:rFonts w:ascii="Times New Roman" w:hAnsi="Times New Roman"/>
                <w:sz w:val="21"/>
              </w:rPr>
              <w:t>DoS Hulk, DDoS, PortScan</w:t>
            </w:r>
          </w:p>
        </w:tc>
      </w:tr>
    </w:tbl>
    <w:p>
      <w:pPr>
        <w:spacing w:after="160"/>
        <w:jc w:val="center"/>
      </w:pPr>
      <w:r>
        <w:rPr>
          <w:rFonts w:ascii="Times New Roman" w:hAnsi="Times New Roman"/>
          <w:i/>
          <w:color w:val="475569"/>
          <w:sz w:val="20"/>
        </w:rPr>
        <w:t>Table 10. Operational alert results.</w:t>
      </w:r>
    </w:p>
    <w:p>
      <w:pPr>
        <w:pStyle w:val="Heading1"/>
        <w:spacing w:before="200" w:after="120"/>
      </w:pPr>
      <w:r>
        <w:rPr>
          <w:rFonts w:ascii="Times New Roman" w:hAnsi="Times New Roman"/>
          <w:b/>
          <w:color w:val="0F172A"/>
          <w:sz w:val="28"/>
        </w:rPr>
        <w:t>12. Hyperparameter Tuning</w:t>
      </w:r>
    </w:p>
    <w:p>
      <w:pPr>
        <w:spacing w:line="360" w:lineRule="auto" w:after="120"/>
      </w:pPr>
      <w:r>
        <w:rPr>
          <w:rFonts w:ascii="Times New Roman" w:hAnsi="Times New Roman"/>
          <w:sz w:val="24"/>
        </w:rPr>
        <w:t>The project uses configuration-driven tuning and benchmarking across model training and deployment. Classical ML models were evaluated through task-specific configurations, ensemble variants were selected by performance metrics, and Phase 15 benchmarked serving parameters for real runtime behavior. The active serving defaults were aligned with the Phase 15 performance recommendations.</w:t>
      </w:r>
    </w:p>
    <w:p>
      <w:pPr>
        <w:pStyle w:val="ListBullet"/>
        <w:spacing w:line="360" w:lineRule="auto" w:after="40"/>
      </w:pPr>
      <w:r>
        <w:rPr>
          <w:rFonts w:ascii="Times New Roman" w:hAnsi="Times New Roman"/>
          <w:sz w:val="24"/>
        </w:rPr>
        <w:t>Binary deployment variant selected: weighted_scoring.</w:t>
      </w:r>
    </w:p>
    <w:p>
      <w:pPr>
        <w:pStyle w:val="ListBullet"/>
        <w:spacing w:line="360" w:lineRule="auto" w:after="40"/>
      </w:pPr>
      <w:r>
        <w:rPr>
          <w:rFonts w:ascii="Times New Roman" w:hAnsi="Times New Roman"/>
          <w:sz w:val="24"/>
        </w:rPr>
        <w:t>Multiclass deployment variant selected: stacking.</w:t>
      </w:r>
    </w:p>
    <w:p>
      <w:pPr>
        <w:pStyle w:val="ListBullet"/>
        <w:spacing w:line="360" w:lineRule="auto" w:after="40"/>
      </w:pPr>
      <w:r>
        <w:rPr>
          <w:rFonts w:ascii="Times New Roman" w:hAnsi="Times New Roman"/>
          <w:sz w:val="24"/>
        </w:rPr>
        <w:t>Recommended streaming inference batch size: 256.</w:t>
      </w:r>
    </w:p>
    <w:p>
      <w:pPr>
        <w:pStyle w:val="ListBullet"/>
        <w:spacing w:line="360" w:lineRule="auto" w:after="40"/>
      </w:pPr>
      <w:r>
        <w:rPr>
          <w:rFonts w:ascii="Times New Roman" w:hAnsi="Times New Roman"/>
          <w:sz w:val="24"/>
        </w:rPr>
        <w:t>Recommended API predict batch size: 8.</w:t>
      </w:r>
    </w:p>
    <w:p>
      <w:pPr>
        <w:pStyle w:val="ListBullet"/>
        <w:spacing w:line="360" w:lineRule="auto" w:after="40"/>
      </w:pPr>
      <w:r>
        <w:rPr>
          <w:rFonts w:ascii="Times New Roman" w:hAnsi="Times New Roman"/>
          <w:sz w:val="24"/>
        </w:rPr>
        <w:t>Metrics cache speedup observed during benchmarking: 9487.56x.</w:t>
      </w:r>
    </w:p>
    <w:p>
      <w:pPr>
        <w:pStyle w:val="Heading1"/>
        <w:spacing w:before="200" w:after="120"/>
      </w:pPr>
      <w:r>
        <w:rPr>
          <w:rFonts w:ascii="Times New Roman" w:hAnsi="Times New Roman"/>
          <w:b/>
          <w:color w:val="0F172A"/>
          <w:sz w:val="28"/>
        </w:rPr>
        <w:t>13. Interpretation and Insights</w:t>
      </w:r>
    </w:p>
    <w:p>
      <w:pPr>
        <w:spacing w:line="360" w:lineRule="auto" w:after="120"/>
      </w:pPr>
      <w:r>
        <w:rPr>
          <w:rFonts w:ascii="Times New Roman" w:hAnsi="Times New Roman"/>
          <w:sz w:val="24"/>
        </w:rPr>
        <w:t>The model stack learned that packet-length behavior, flow timing, backward packet characteristics, TCP window behavior, and rolling destination port uniqueness are important indicators of malicious traffic. This aligns with real-world network security intuition: denial-of-service, port scanning, brute-force, and web attacks often change packet-size distributions, timing patterns, and repeated connection behavior.</w:t>
      </w:r>
    </w:p>
    <w:p>
      <w:pPr>
        <w:pStyle w:val="ListBullet"/>
        <w:spacing w:line="360" w:lineRule="auto" w:after="40"/>
      </w:pPr>
      <w:r>
        <w:rPr>
          <w:rFonts w:ascii="Times New Roman" w:hAnsi="Times New Roman"/>
          <w:sz w:val="24"/>
        </w:rPr>
        <w:t>Risk scoring makes model output more useful for analysts than class labels alone.</w:t>
      </w:r>
    </w:p>
    <w:p>
      <w:pPr>
        <w:pStyle w:val="ListBullet"/>
        <w:spacing w:line="360" w:lineRule="auto" w:after="40"/>
      </w:pPr>
      <w:r>
        <w:rPr>
          <w:rFonts w:ascii="Times New Roman" w:hAnsi="Times New Roman"/>
          <w:sz w:val="24"/>
        </w:rPr>
        <w:t>Explainability summaries help identify which features drive decisions.</w:t>
      </w:r>
    </w:p>
    <w:p>
      <w:pPr>
        <w:pStyle w:val="ListBullet"/>
        <w:spacing w:line="360" w:lineRule="auto" w:after="40"/>
      </w:pPr>
      <w:r>
        <w:rPr>
          <w:rFonts w:ascii="Times New Roman" w:hAnsi="Times New Roman"/>
          <w:sz w:val="24"/>
        </w:rPr>
        <w:t>Streaming replay demonstrates that the model can be integrated into operational monitoring workflows.</w:t>
      </w:r>
    </w:p>
    <w:p>
      <w:pPr>
        <w:pStyle w:val="ListBullet"/>
        <w:spacing w:line="360" w:lineRule="auto" w:after="40"/>
      </w:pPr>
      <w:r>
        <w:rPr>
          <w:rFonts w:ascii="Times New Roman" w:hAnsi="Times New Roman"/>
          <w:sz w:val="24"/>
        </w:rPr>
        <w:t>The React SOC frontend improves usability by separating live predictions from real-time attack alerts.</w:t>
      </w:r>
    </w:p>
    <w:p>
      <w:pPr>
        <w:pStyle w:val="Heading1"/>
        <w:spacing w:before="200" w:after="120"/>
      </w:pPr>
      <w:r>
        <w:rPr>
          <w:rFonts w:ascii="Times New Roman" w:hAnsi="Times New Roman"/>
          <w:b/>
          <w:color w:val="0F172A"/>
          <w:sz w:val="28"/>
        </w:rPr>
        <w:t>14. Conclusion</w:t>
      </w:r>
    </w:p>
    <w:p>
      <w:pPr>
        <w:spacing w:line="360" w:lineRule="auto" w:after="120"/>
      </w:pPr>
      <w:r>
        <w:rPr>
          <w:rFonts w:ascii="Times New Roman" w:hAnsi="Times New Roman"/>
          <w:sz w:val="24"/>
        </w:rPr>
        <w:t>SentinelNet v2 successfully implements a full applied machine learning lifecycle for network intrusion detection. The best deployment setup uses weighted scoring for binary classification and stacking for multiclass attack classification. The project reaches strong binary detection quality with ROC-AUC 0.999858 and provides a complete serving and monitoring stack through FastAPI and React.</w:t>
      </w:r>
    </w:p>
    <w:p>
      <w:pPr>
        <w:spacing w:before="120" w:after="60"/>
      </w:pPr>
      <w:r>
        <w:rPr>
          <w:rFonts w:ascii="Times New Roman" w:hAnsi="Times New Roman"/>
          <w:b/>
          <w:color w:val="1E293B"/>
          <w:sz w:val="24"/>
        </w:rPr>
        <w:t>Limitations</w:t>
      </w:r>
    </w:p>
    <w:p>
      <w:pPr>
        <w:pStyle w:val="ListBullet"/>
        <w:spacing w:line="360" w:lineRule="auto" w:after="40"/>
      </w:pPr>
      <w:r>
        <w:rPr>
          <w:rFonts w:ascii="Times New Roman" w:hAnsi="Times New Roman"/>
          <w:sz w:val="24"/>
        </w:rPr>
        <w:t>The dataset is historical and may not represent every modern attack pattern.</w:t>
      </w:r>
    </w:p>
    <w:p>
      <w:pPr>
        <w:pStyle w:val="ListBullet"/>
        <w:spacing w:line="360" w:lineRule="auto" w:after="40"/>
      </w:pPr>
      <w:r>
        <w:rPr>
          <w:rFonts w:ascii="Times New Roman" w:hAnsi="Times New Roman"/>
          <w:sz w:val="24"/>
        </w:rPr>
        <w:t>The /predict API requires all 30 selected deployment features, so raw packet input must be transformed before inference.</w:t>
      </w:r>
    </w:p>
    <w:p>
      <w:pPr>
        <w:pStyle w:val="ListBullet"/>
        <w:spacing w:line="360" w:lineRule="auto" w:after="40"/>
      </w:pPr>
      <w:r>
        <w:rPr>
          <w:rFonts w:ascii="Times New Roman" w:hAnsi="Times New Roman"/>
          <w:sz w:val="24"/>
        </w:rPr>
        <w:t>Serialized model artifacts may emit library-version compatibility warnings until re-exported under a standardized environment.</w:t>
      </w:r>
    </w:p>
    <w:p>
      <w:pPr>
        <w:spacing w:before="120" w:after="60"/>
      </w:pPr>
      <w:r>
        <w:rPr>
          <w:rFonts w:ascii="Times New Roman" w:hAnsi="Times New Roman"/>
          <w:b/>
          <w:color w:val="1E293B"/>
          <w:sz w:val="24"/>
        </w:rPr>
        <w:t>Future Scope</w:t>
      </w:r>
    </w:p>
    <w:p>
      <w:pPr>
        <w:pStyle w:val="ListBullet"/>
        <w:spacing w:line="360" w:lineRule="auto" w:after="40"/>
      </w:pPr>
      <w:r>
        <w:rPr>
          <w:rFonts w:ascii="Times New Roman" w:hAnsi="Times New Roman"/>
          <w:sz w:val="24"/>
        </w:rPr>
        <w:t>Add a raw-flow-to-feature transformation endpoint for easier live integrations.</w:t>
      </w:r>
    </w:p>
    <w:p>
      <w:pPr>
        <w:pStyle w:val="ListBullet"/>
        <w:spacing w:line="360" w:lineRule="auto" w:after="40"/>
      </w:pPr>
      <w:r>
        <w:rPr>
          <w:rFonts w:ascii="Times New Roman" w:hAnsi="Times New Roman"/>
          <w:sz w:val="24"/>
        </w:rPr>
        <w:t>Expose Phase 16 zero-day, drift, and retraining signals directly in the React dashboard.</w:t>
      </w:r>
    </w:p>
    <w:p>
      <w:pPr>
        <w:pStyle w:val="ListBullet"/>
        <w:spacing w:line="360" w:lineRule="auto" w:after="40"/>
      </w:pPr>
      <w:r>
        <w:rPr>
          <w:rFonts w:ascii="Times New Roman" w:hAnsi="Times New Roman"/>
          <w:sz w:val="24"/>
        </w:rPr>
        <w:t>Integrate analyst feedback from continuous-learning queues into automated retraining.</w:t>
      </w:r>
    </w:p>
    <w:p>
      <w:pPr>
        <w:pStyle w:val="ListBullet"/>
        <w:spacing w:line="360" w:lineRule="auto" w:after="40"/>
      </w:pPr>
      <w:r>
        <w:rPr>
          <w:rFonts w:ascii="Times New Roman" w:hAnsi="Times New Roman"/>
          <w:sz w:val="24"/>
        </w:rPr>
        <w:t>Deploy the backend and frontend with production authentication, logging, and role-based access control.</w:t>
      </w:r>
    </w:p>
    <w:p>
      <w:pPr>
        <w:pStyle w:val="Heading1"/>
        <w:spacing w:before="200" w:after="120"/>
      </w:pPr>
      <w:r>
        <w:rPr>
          <w:rFonts w:ascii="Times New Roman" w:hAnsi="Times New Roman"/>
          <w:b/>
          <w:color w:val="0F172A"/>
          <w:sz w:val="28"/>
        </w:rPr>
        <w:t>15. Appendix</w:t>
      </w:r>
    </w:p>
    <w:p>
      <w:pPr>
        <w:spacing w:before="120" w:after="60"/>
      </w:pPr>
      <w:r>
        <w:rPr>
          <w:rFonts w:ascii="Times New Roman" w:hAnsi="Times New Roman"/>
          <w:b/>
          <w:color w:val="1E293B"/>
          <w:sz w:val="24"/>
        </w:rPr>
        <w:t>A. FastAPI Startup</w:t>
      </w:r>
    </w:p>
    <w:p>
      <w:pPr>
        <w:spacing w:line="360" w:lineRule="auto" w:after="120"/>
      </w:pPr>
      <w:r>
        <w:rPr>
          <w:rFonts w:ascii="Times New Roman" w:hAnsi="Times New Roman"/>
          <w:sz w:val="24"/>
        </w:rPr>
        <w:t>uvicorn api.fastapi_app:app --host 0.0.0.0 --port 8000</w:t>
      </w:r>
    </w:p>
    <w:p>
      <w:pPr>
        <w:spacing w:before="120" w:after="60"/>
      </w:pPr>
      <w:r>
        <w:rPr>
          <w:rFonts w:ascii="Times New Roman" w:hAnsi="Times New Roman"/>
          <w:b/>
          <w:color w:val="1E293B"/>
          <w:sz w:val="24"/>
        </w:rPr>
        <w:t>B. React Frontend Startup</w:t>
      </w:r>
    </w:p>
    <w:p>
      <w:pPr>
        <w:spacing w:line="360" w:lineRule="auto" w:after="120"/>
      </w:pPr>
      <w:r>
        <w:rPr>
          <w:rFonts w:ascii="Times New Roman" w:hAnsi="Times New Roman"/>
          <w:sz w:val="24"/>
        </w:rPr>
        <w:t>cd sentinelnet-frontend &amp;&amp; npm install &amp;&amp; npm run dev</w:t>
      </w:r>
    </w:p>
    <w:p>
      <w:pPr>
        <w:spacing w:before="120" w:after="60"/>
      </w:pPr>
      <w:r>
        <w:rPr>
          <w:rFonts w:ascii="Times New Roman" w:hAnsi="Times New Roman"/>
          <w:b/>
          <w:color w:val="1E293B"/>
          <w:sz w:val="24"/>
        </w:rPr>
        <w:t>C. /predict Contract</w:t>
      </w:r>
    </w:p>
    <w:p>
      <w:pPr>
        <w:spacing w:line="360" w:lineRule="auto" w:after="120"/>
      </w:pPr>
      <w:r>
        <w:rPr>
          <w:rFonts w:ascii="Times New Roman" w:hAnsi="Times New Roman"/>
          <w:sz w:val="24"/>
        </w:rPr>
        <w:t>The /predict endpoint is defined by Pydantic schemas in api/schemas.py. Each request contains records, and each record contains source_file, optional event_time_utc, and a features object. The service requires all 30 selected features in the selected feature manifest.</w:t>
      </w:r>
    </w:p>
    <w:p>
      <w:pPr>
        <w:spacing w:before="120" w:after="60"/>
      </w:pPr>
      <w:r>
        <w:rPr>
          <w:rFonts w:ascii="Times New Roman" w:hAnsi="Times New Roman"/>
          <w:b/>
          <w:color w:val="1E293B"/>
          <w:sz w:val="24"/>
        </w:rPr>
        <w:t>D. Suggested Screenshots</w:t>
      </w:r>
    </w:p>
    <w:p>
      <w:pPr>
        <w:pStyle w:val="ListBullet"/>
        <w:spacing w:line="360" w:lineRule="auto" w:after="40"/>
      </w:pPr>
      <w:r>
        <w:rPr>
          <w:rFonts w:ascii="Times New Roman" w:hAnsi="Times New Roman"/>
          <w:sz w:val="24"/>
        </w:rPr>
        <w:t>Command Center dashboard.</w:t>
      </w:r>
    </w:p>
    <w:p>
      <w:pPr>
        <w:pStyle w:val="ListBullet"/>
        <w:spacing w:line="360" w:lineRule="auto" w:after="40"/>
      </w:pPr>
      <w:r>
        <w:rPr>
          <w:rFonts w:ascii="Times New Roman" w:hAnsi="Times New Roman"/>
          <w:sz w:val="24"/>
        </w:rPr>
        <w:t>Live Feed with Real-Time Attack Alerts.</w:t>
      </w:r>
    </w:p>
    <w:p>
      <w:pPr>
        <w:pStyle w:val="ListBullet"/>
        <w:spacing w:line="360" w:lineRule="auto" w:after="40"/>
      </w:pPr>
      <w:r>
        <w:rPr>
          <w:rFonts w:ascii="Times New Roman" w:hAnsi="Times New Roman"/>
          <w:sz w:val="24"/>
        </w:rPr>
        <w:t>Alert Center with filters.</w:t>
      </w:r>
    </w:p>
    <w:p>
      <w:pPr>
        <w:pStyle w:val="ListBullet"/>
        <w:spacing w:line="360" w:lineRule="auto" w:after="40"/>
      </w:pPr>
      <w:r>
        <w:rPr>
          <w:rFonts w:ascii="Times New Roman" w:hAnsi="Times New Roman"/>
          <w:sz w:val="24"/>
        </w:rPr>
        <w:t>Model Insights explainability page.</w:t>
      </w:r>
    </w:p>
    <w:p>
      <w:pPr>
        <w:pStyle w:val="ListBullet"/>
        <w:spacing w:line="360" w:lineRule="auto" w:after="40"/>
      </w:pPr>
      <w:r>
        <w:rPr>
          <w:rFonts w:ascii="Times New Roman" w:hAnsi="Times New Roman"/>
          <w:sz w:val="24"/>
        </w:rPr>
        <w:t>Inference Lab validation response.</w:t>
      </w:r>
    </w:p>
    <w:p>
      <w:pPr>
        <w:pStyle w:val="Heading1"/>
        <w:spacing w:before="200" w:after="120"/>
      </w:pPr>
      <w:r>
        <w:rPr>
          <w:rFonts w:ascii="Times New Roman" w:hAnsi="Times New Roman"/>
          <w:b/>
          <w:color w:val="0F172A"/>
          <w:sz w:val="28"/>
        </w:rPr>
        <w:t>16. References</w:t>
      </w:r>
    </w:p>
    <w:p>
      <w:pPr>
        <w:pStyle w:val="ListNumber"/>
        <w:spacing w:line="264" w:lineRule="auto" w:after="20"/>
      </w:pPr>
      <w:r>
        <w:rPr>
          <w:rFonts w:ascii="Times New Roman" w:hAnsi="Times New Roman"/>
          <w:sz w:val="22"/>
        </w:rPr>
        <w:t>Canadian Institute for Cybersecurity. CICIDS2017 Dataset.</w:t>
      </w:r>
    </w:p>
    <w:p>
      <w:pPr>
        <w:pStyle w:val="ListNumber"/>
        <w:spacing w:line="264" w:lineRule="auto" w:after="20"/>
      </w:pPr>
      <w:r>
        <w:rPr>
          <w:rFonts w:ascii="Times New Roman" w:hAnsi="Times New Roman"/>
          <w:sz w:val="22"/>
        </w:rPr>
        <w:t>Scikit-learn documentation: classification metrics, preprocessing, and model persistence.</w:t>
      </w:r>
    </w:p>
    <w:p>
      <w:pPr>
        <w:pStyle w:val="ListNumber"/>
        <w:spacing w:line="264" w:lineRule="auto" w:after="20"/>
      </w:pPr>
      <w:r>
        <w:rPr>
          <w:rFonts w:ascii="Times New Roman" w:hAnsi="Times New Roman"/>
          <w:sz w:val="22"/>
        </w:rPr>
        <w:t>FastAPI documentation: request validation, Pydantic models, and API routing.</w:t>
      </w:r>
    </w:p>
    <w:p>
      <w:pPr>
        <w:pStyle w:val="ListNumber"/>
        <w:spacing w:line="264" w:lineRule="auto" w:after="20"/>
      </w:pPr>
      <w:r>
        <w:rPr>
          <w:rFonts w:ascii="Times New Roman" w:hAnsi="Times New Roman"/>
          <w:sz w:val="22"/>
        </w:rPr>
        <w:t>TensorFlow / Keras documentation for deep-learning model implementation.</w:t>
      </w:r>
    </w:p>
    <w:p>
      <w:pPr>
        <w:pStyle w:val="ListNumber"/>
        <w:spacing w:line="264" w:lineRule="auto" w:after="20"/>
      </w:pPr>
      <w:r>
        <w:rPr>
          <w:rFonts w:ascii="Times New Roman" w:hAnsi="Times New Roman"/>
          <w:sz w:val="22"/>
        </w:rPr>
        <w:t>Vite, React, Tailwind CSS, Axios, and Recharts documentation for frontend development.</w:t>
      </w:r>
    </w:p>
    <w:p>
      <w:pPr>
        <w:pStyle w:val="ListNumber"/>
        <w:spacing w:line="264" w:lineRule="auto" w:after="20"/>
      </w:pPr>
      <w:r>
        <w:rPr>
          <w:rFonts w:ascii="Times New Roman" w:hAnsi="Times New Roman"/>
          <w:sz w:val="22"/>
        </w:rPr>
        <w:t>SentinelNet v2 repository artifacts and source documentation.</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