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footer-dossi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bookmarkStart w:id="10" w:name="grille-dobservation-u01.1"/>
    <w:p>
      <w:pPr>
        <w:pStyle w:val="Heading1"/>
      </w:pPr>
      <w:r>
        <w:t xml:space="preserve">Grille d’observation — U01.1</w:t>
      </w:r>
    </w:p>
    <w:p>
      <w:pPr>
        <w:pStyle w:val="FirstParagraph"/>
      </w:pPr>
      <w:r>
        <w:t xml:space="preserve">Une grille par participant. Aucun nom ni correspondance code/identité. Ne rien préremplir comme résultat.</w:t>
      </w:r>
    </w:p>
    <w:p>
      <w:pPr>
        <w:pStyle w:val="BodyText"/>
      </w:pPr>
      <w:r>
        <w:t xml:space="preserve">Code participant : __________ Code séance : __________ Version : __________</w:t>
      </w:r>
    </w:p>
    <w:p>
      <w:pPr>
        <w:pStyle w:val="BodyText"/>
      </w:pPr>
      <w:r>
        <w:t xml:space="preserve">Public : Première / Terminale / enseignant : __________ Modalité : individuel accompagné / groupe : __________</w:t>
      </w:r>
    </w:p>
    <w:p>
      <w:pPr>
        <w:pStyle w:val="BodyText"/>
      </w:pPr>
      <w:r>
        <w:t xml:space="preserve">Support : laboratoire réel / relevés fournis : __________ Temps relevés : individuels observés / collectifs : __________</w:t>
      </w:r>
    </w:p>
    <w:bookmarkStart w:id="9" w:name="temps-réels-et-accès-aux-consignes"/>
    <w:p>
      <w:pPr>
        <w:pStyle w:val="Heading2"/>
      </w:pPr>
      <w:r>
        <w:t xml:space="preserve">Temps réels et accès aux consignes</w:t>
      </w:r>
    </w:p>
    <w:p>
      <w:pPr>
        <w:pStyle w:val="FirstParagraph"/>
      </w:pPr>
      <w:r>
        <w:t xml:space="preserve">Inscrire heures/minutes/secondes selon le chronomètre retenu. Durée = fin − début ; pauses détaillées séparément. Une durée collective n’est pas une mesure individuelle. Écrire « non observé » si nécessaire.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374"/>
        <w:gridCol w:w="1483"/>
        <w:gridCol w:w="1483"/>
        <w:gridCol w:w="1483"/>
        <w:gridCol w:w="1483"/>
        <w:gridCol w:w="6528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Budget cible, non mesuré</w:t>
            </w:r>
          </w:p>
        </w:tc>
        <w:tc>
          <w:tcPr/>
          <w:p>
            <w:pPr>
              <w:pStyle w:val="Compact"/>
            </w:pPr>
            <w:r>
              <w:t xml:space="preserve">Début réel</w:t>
            </w:r>
          </w:p>
        </w:tc>
        <w:tc>
          <w:tcPr/>
          <w:p>
            <w:pPr>
              <w:pStyle w:val="Compact"/>
            </w:pPr>
            <w:r>
              <w:t xml:space="preserve">Fin réelle</w:t>
            </w:r>
          </w:p>
        </w:tc>
        <w:tc>
          <w:tcPr/>
          <w:p>
            <w:pPr>
              <w:pStyle w:val="Compact"/>
            </w:pPr>
            <w:r>
              <w:t xml:space="preserve">Durée réelle</w:t>
            </w:r>
          </w:p>
        </w:tc>
        <w:tc>
          <w:tcPr/>
          <w:p>
            <w:pPr>
              <w:pStyle w:val="Compact"/>
            </w:pPr>
            <w:r>
              <w:t xml:space="preserve">Pauses / lecture / aide d’accès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Contexte C0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  <w:r>
              <w:t xml:space="preserve">P1–E3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  <w:r>
              <w:t xml:space="preserve">Explication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  <w:r>
              <w:t xml:space="preserve">Nora T1–T2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  <w:r>
              <w:t xml:space="preserve">Curseur I1–I2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  <w:r>
              <w:t xml:space="preserve">Installation, hors budget</w:t>
            </w:r>
          </w:p>
        </w:tc>
        <w:tc>
          <w:tcPr/>
          <w:p>
            <w:pPr>
              <w:pStyle w:val="Compact"/>
            </w:pPr>
            <w:r>
              <w:t xml:space="preserve">aucune cible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  <w:r>
              <w:t xml:space="preserve">Remédiation, hors budget</w:t>
            </w:r>
          </w:p>
        </w:tc>
        <w:tc>
          <w:tcPr/>
          <w:p>
            <w:pPr>
              <w:pStyle w:val="Compact"/>
            </w:pPr>
            <w:r>
              <w:t xml:space="preserve">aucune cible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</w:tbl>
    <w:p>
      <w:pPr>
        <w:pStyle w:val="BodyText"/>
      </w:pPr>
      <w:r>
        <w:t xml:space="preserve">Lecture : noter la question et les mots précis qui posent problème, pas seulement « difficile ».</w:t>
      </w:r>
    </w:p>
    <w:p>
      <w:pPr>
        <w:spacing w:after="0" w:line="360" w:lineRule="exact"/>
        <w:pBdr>
          <w:bottom w:val="single" w:sz="2" w:color="999999"/>
          <w:between w:val="single" w:sz="2" w:color="999999"/>
        </w:pBdr>
      </w:pPr>
      <w:r>
        <w:t xml:space="preserve"> </w:t>
      </w:r>
    </w:p>
    <w:p>
      <w:pPr>
        <w:spacing w:after="0" w:line="360" w:lineRule="exact"/>
        <w:pBdr>
          <w:bottom w:val="single" w:sz="2" w:color="999999"/>
          <w:between w:val="single" w:sz="2" w:color="999999"/>
        </w:pBdr>
      </w:pPr>
      <w:r>
        <w:t xml:space="preserve"> </w:t>
      </w:r>
    </w:p>
    <w:bookmarkEnd w:id="9"/>
    <w:bookmarkEnd w:id="10"/>
    <w:bookmarkStart w:id="11" w:name="productions-et-transferts-individuels"/>
    <w:p>
      <w:pPr>
        <w:pStyle w:val="Heading1"/>
        <w:pageBreakBefore/>
      </w:pPr>
      <w:r>
        <w:t xml:space="preserve">Productions et transferts individuels</w:t>
      </w:r>
    </w:p>
    <w:p>
      <w:pPr>
        <w:pStyle w:val="FirstParagraph"/>
      </w:pPr>
      <w:r>
        <w:t xml:space="preserve">Code participant : __________ Code séance : __________</w:t>
      </w:r>
    </w:p>
    <w:p>
      <w:pPr>
        <w:pStyle w:val="BodyText"/>
      </w:pPr>
      <w:r>
        <w:t xml:space="preserve">Codes : A = autonome ; R = avec relance (préciser laquelle page suivante) ; NE = non établi par la production ; NO = non observable. L’exactitude et l’aide sont deux informations distinctes : une réponse après indice ne devient pas autonome. Conserver la copie initiale.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264"/>
        <w:gridCol w:w="3561"/>
        <w:gridCol w:w="3561"/>
        <w:gridCol w:w="2967"/>
        <w:gridCol w:w="1483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Réponse initiale / emplacement sur la copie</w:t>
            </w:r>
          </w:p>
        </w:tc>
        <w:tc>
          <w:tcPr/>
          <w:p>
            <w:pPr>
              <w:pStyle w:val="Compact"/>
            </w:pPr>
            <w:r>
              <w:t xml:space="preserve">Justification donnée / règle invoquée</w:t>
            </w:r>
          </w:p>
        </w:tc>
        <w:tc>
          <w:tcPr/>
          <w:p>
            <w:pPr>
              <w:pStyle w:val="Compact"/>
            </w:pPr>
            <w:r>
              <w:t xml:space="preserve">Réponse après aide, si différente</w:t>
            </w:r>
          </w:p>
        </w:tc>
        <w:tc>
          <w:tcPr/>
          <w:p>
            <w:pPr>
              <w:pStyle w:val="Compact"/>
            </w:pPr>
            <w:r>
              <w:t xml:space="preserve">Code A / R / NE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Nora T1 : deux positions et effets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  <w:r>
              <w:t xml:space="preserve">Nora T2 : commande et explication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  <w:r>
              <w:t xml:space="preserve">Curseur I1 : deux positions, effets, règles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  <w:r>
              <w:t xml:space="preserve">Curseur I2 : réfutation argumentée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4451"/>
        <w:gridCol w:w="8902"/>
        <w:gridCol w:w="1483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</w:pPr>
            <w:r>
              <w:t xml:space="preserve">Critère, sans note globale</w:t>
            </w:r>
          </w:p>
        </w:tc>
        <w:tc>
          <w:tcPr/>
          <w:p>
            <w:pPr>
              <w:pStyle w:val="Compact"/>
            </w:pPr>
            <w:r>
              <w:t xml:space="preserve">Indice précis / incohérence à examiner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: distinguer commande et effet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  <w:r>
              <w:t xml:space="preserve">V2 : expliquer un non-déplacement par la règle du cas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  <w:r>
              <w:t xml:space="preserve">V3 : réemployer dans Nora ET curseur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</w:tbl>
    <w:p>
      <w:pPr>
        <w:pStyle w:val="BodyText"/>
      </w:pPr>
      <w:r>
        <w:t xml:space="preserve">Un résultat correct sans raison explicite ne démontre pas à lui seul le mécanisme. Une tâche non traitée faute de temps n’établit pas une erreur conceptuelle. Consulter les corrigés réservés au guide après le recueil.</w:t>
      </w:r>
    </w:p>
    <w:bookmarkEnd w:id="11"/>
    <w:bookmarkStart w:id="12" w:name="Xd9063015d64352c23c232bc09fef5fb04cba5bf"/>
    <w:p>
      <w:pPr>
        <w:pStyle w:val="Heading1"/>
        <w:pageBreakBefore/>
      </w:pPr>
      <w:r>
        <w:t xml:space="preserve">Difficultés, interventions et suites à examiner</w:t>
      </w:r>
    </w:p>
    <w:p>
      <w:pPr>
        <w:pStyle w:val="FirstParagraph"/>
      </w:pPr>
      <w:r>
        <w:t xml:space="preserve">Code participant : __________ Code séance : 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928"/>
        <w:gridCol w:w="3561"/>
        <w:gridCol w:w="2670"/>
        <w:gridCol w:w="3561"/>
        <w:gridCol w:w="3115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</w:pPr>
            <w:r>
              <w:t xml:space="preserve">Moment / tâche</w:t>
            </w:r>
          </w:p>
        </w:tc>
        <w:tc>
          <w:tcPr/>
          <w:p>
            <w:pPr>
              <w:pStyle w:val="Compact"/>
            </w:pPr>
            <w:r>
              <w:t xml:space="preserve">Fait observé ou citation sans identité</w:t>
            </w:r>
          </w:p>
        </w:tc>
        <w:tc>
          <w:tcPr/>
          <w:p>
            <w:pPr>
              <w:pStyle w:val="Compact"/>
            </w:pPr>
            <w:r>
              <w:t xml:space="preserve">Type : lecture / compréhension / technique / autre</w:t>
            </w:r>
          </w:p>
        </w:tc>
        <w:tc>
          <w:tcPr/>
          <w:p>
            <w:pPr>
              <w:pStyle w:val="Compact"/>
            </w:pPr>
            <w:r>
              <w:t xml:space="preserve">Relance exacte ou aide matérielle</w:t>
            </w:r>
          </w:p>
        </w:tc>
        <w:tc>
          <w:tcPr/>
          <w:p>
            <w:pPr>
              <w:pStyle w:val="Compact"/>
            </w:pPr>
            <w:r>
              <w:t xml:space="preserve">Réponse après intervention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rPr>
          <w:cantSplit/>
          <w:trHeight w:val="650" w:hRule="atLeast"/>
        </w:trPr>
      </w:tr>
    </w:tbl>
    <w:p>
      <w:pPr>
        <w:pStyle w:val="BodyText"/>
      </w:pPr>
      <w:r>
        <w:t xml:space="preserve">Incident technique et conséquence sur le temps ou la modalité :</w:t>
      </w:r>
    </w:p>
    <w:p>
      <w:pPr>
        <w:spacing w:after="0" w:line="360" w:lineRule="exact"/>
        <w:pBdr>
          <w:bottom w:val="single" w:sz="2" w:color="999999"/>
          <w:between w:val="single" w:sz="2" w:color="999999"/>
        </w:pBdr>
      </w:pPr>
      <w:r>
        <w:t xml:space="preserve"> </w:t>
      </w:r>
    </w:p>
    <w:p>
      <w:pPr>
        <w:spacing w:after="0" w:line="360" w:lineRule="exact"/>
        <w:pBdr>
          <w:bottom w:val="single" w:sz="2" w:color="999999"/>
          <w:between w:val="single" w:sz="2" w:color="999999"/>
        </w:pBdr>
      </w:pPr>
      <w:r>
        <w:t xml:space="preserve"> </w:t>
      </w:r>
    </w:p>
    <w:p>
      <w:pPr>
        <w:spacing w:after="0" w:line="360" w:lineRule="exact"/>
        <w:pBdr>
          <w:bottom w:val="single" w:sz="2" w:color="999999"/>
          <w:between w:val="single" w:sz="2" w:color="999999"/>
        </w:pBdr>
      </w:pPr>
      <w:r>
        <w:t xml:space="preserve"> </w:t>
      </w:r>
    </w:p>
    <w:p>
      <w:pPr>
        <w:pStyle w:val="BodyText"/>
      </w:pPr>
      <w:r>
        <w:t xml:space="preserve">Analyse après recueil : indice constaté, hypothèse explicative, autre explication possible. Ne pas transformer une hypothèse en fait :</w:t>
      </w:r>
    </w:p>
    <w:p>
      <w:pPr>
        <w:spacing w:after="0" w:line="360" w:lineRule="exact"/>
        <w:pBdr>
          <w:bottom w:val="single" w:sz="2" w:color="999999"/>
          <w:between w:val="single" w:sz="2" w:color="999999"/>
        </w:pBdr>
      </w:pPr>
      <w:r>
        <w:t xml:space="preserve"> </w:t>
      </w:r>
    </w:p>
    <w:p>
      <w:pPr>
        <w:spacing w:after="0" w:line="360" w:lineRule="exact"/>
        <w:pBdr>
          <w:bottom w:val="single" w:sz="2" w:color="999999"/>
          <w:between w:val="single" w:sz="2" w:color="999999"/>
        </w:pBdr>
      </w:pPr>
      <w:r>
        <w:t xml:space="preserve"> </w:t>
      </w:r>
    </w:p>
    <w:p>
      <w:pPr>
        <w:spacing w:after="0" w:line="360" w:lineRule="exact"/>
        <w:pBdr>
          <w:bottom w:val="single" w:sz="2" w:color="999999"/>
          <w:between w:val="single" w:sz="2" w:color="999999"/>
        </w:pBdr>
      </w:pPr>
      <w:r>
        <w:t xml:space="preserve"> </w:t>
      </w:r>
    </w:p>
    <w:p>
      <w:pPr>
        <w:pStyle w:val="BodyText"/>
      </w:pPr>
      <w:r>
        <w:t xml:space="preserve">Proposition de correction à soumettre et preuve à rechercher lors d’un prochain essai :</w:t>
      </w:r>
    </w:p>
    <w:p>
      <w:pPr>
        <w:spacing w:after="0" w:line="360" w:lineRule="exact"/>
        <w:pBdr>
          <w:bottom w:val="single" w:sz="2" w:color="999999"/>
          <w:between w:val="single" w:sz="2" w:color="999999"/>
        </w:pBdr>
      </w:pPr>
      <w:r>
        <w:t xml:space="preserve"> </w:t>
      </w:r>
    </w:p>
    <w:p>
      <w:pPr>
        <w:spacing w:after="0" w:line="360" w:lineRule="exact"/>
        <w:pBdr>
          <w:bottom w:val="single" w:sz="2" w:color="999999"/>
          <w:between w:val="single" w:sz="2" w:color="999999"/>
        </w:pBdr>
      </w:pPr>
      <w:r>
        <w:t xml:space="preserve"> </w:t>
      </w:r>
    </w:p>
    <w:p>
      <w:pPr>
        <w:spacing w:after="0" w:line="360" w:lineRule="exact"/>
        <w:pBdr>
          <w:bottom w:val="single" w:sz="2" w:color="999999"/>
          <w:between w:val="single" w:sz="2" w:color="999999"/>
        </w:pBdr>
      </w:pPr>
      <w:r>
        <w:t xml:space="preserve"> </w:t>
      </w:r>
    </w:p>
    <w:bookmarkEnd w:id="12"/>
    <w:sectPr>
      <w:footnotePr>
        <w:numRestart w:val="eachSect"/>
      </w:footnotePr>
      <w:pgSz w:w="16838" w:h="11906" w:orient="landscape"/>
      <w:pgMar w:top="850" w:bottom="850" w:left="1000" w:right="1000" w:header="350" w:footer="350" w:gutter="0"/>
      <w:footerReference w:type="default" ns1:id="rIdDossierFooter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dossier.xml><?xml version="1.0" encoding="utf-8"?>
<w:ftr xmlns:w="http://schemas.openxmlformats.org/wordprocessingml/2006/main">
  <w:p>
    <w:pPr>
      <w:jc w:val="right"/>
    </w:pPr>
    <w:r>
      <w:t>U01.1 · Document expérimental · </w:t>
    </w:r>
    <w:fldSimple w:instr="PAGE"/>
    <w:r>
      <w:t> / </w:t>
    </w:r>
    <w:fldSimple w:instr="NUMPAGES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szCs w:val="24"/>
        <w:rFonts w:ascii="Arial" w:eastAsia="Arial" w:hAnsi="Arial"/>
        <w:sz w:val="22"/>
        <w:lang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color w:val="000000"/>
      <w:rFonts w:ascii="Arial" w:hAnsi="Arial"/>
    </w:rPr>
    <w:pPr>
      <w:spacing w:after="100" w:line="252" w:lineRule="auto"/>
    </w:pPr>
  </w:style>
  <w:style w:styleId="BodyText" w:type="paragraph">
    <w:name w:val="Body Text"/>
    <w:basedOn w:val="Normal"/>
    <w:link w:val="BodyTextChar"/>
    <w:qFormat/>
    <w:pPr>
      <w:spacing w:after="100" w:line="252" w:lineRule="auto"/>
    </w:pPr>
    <w:rPr>
      <w:color w:val="000000"/>
      <w:rFonts w:ascii="Arial" w:hAnsi="Arial"/>
    </w:rPr>
  </w:style>
  <w:style w:customStyle="1" w:styleId="FirstParagraph" w:type="paragraph">
    <w:name w:val="First Paragraph"/>
    <w:basedOn w:val="BodyText"/>
    <w:next w:val="BodyText"/>
    <w:qFormat/>
    <w:rPr>
      <w:color w:val="000000"/>
      <w:rFonts w:ascii="Arial" w:hAnsi="Arial"/>
    </w:rPr>
    <w:pPr>
      <w:spacing w:after="100" w:line="252" w:lineRule="auto"/>
    </w:pPr>
  </w:style>
  <w:style w:customStyle="1" w:styleId="Compact" w:type="paragraph">
    <w:name w:val="Compact"/>
    <w:basedOn w:val="BodyText"/>
    <w:qFormat/>
    <w:pPr>
      <w:spacing w:after="100" w:line="252" w:lineRule="auto"/>
    </w:pPr>
    <w:rPr>
      <w:color w:val="000000"/>
      <w:rFonts w:ascii="Arial" w:hAnsi="Arial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  <w:spacing w:after="100" w:line="252" w:lineRule="auto"/>
    </w:pPr>
    <w:rPr>
      <w:sz w:val="56"/>
      <w:szCs w:val="56"/>
      <w:color w:val="000000"/>
      <w:rFonts w:ascii="Arial" w:hAnsi="Arial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sz w:val="56"/>
      <w:szCs w:val="56"/>
      <w:color w:val="000000"/>
      <w:rFonts w:ascii="Arial" w:hAnsi="Arial"/>
    </w:rPr>
    <w:pPr>
      <w:spacing w:after="100" w:line="252" w:lineRule="auto"/>
    </w:p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00" w:line="252" w:lineRule="auto"/>
    </w:pPr>
    <w:rPr>
      <w:spacing w:val="15"/>
      <w:sz w:val="28"/>
      <w:szCs w:val="28"/>
      <w:color w:val="000000"/>
      <w:rFonts w:ascii="Arial" w:hAnsi="Arial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spacing w:val="15"/>
      <w:sz w:val="28"/>
      <w:szCs w:val="28"/>
      <w:color w:val="000000"/>
      <w:rFonts w:ascii="Arial" w:hAnsi="Arial"/>
    </w:rPr>
    <w:pPr>
      <w:spacing w:after="100" w:line="252" w:lineRule="auto"/>
    </w:pPr>
  </w:style>
  <w:style w:customStyle="1" w:styleId="Author" w:type="paragraph">
    <w:name w:val="Author"/>
    <w:basedOn w:val="Title"/>
    <w:next w:val="BodyText"/>
    <w:qFormat/>
    <w:pPr>
      <w:keepNext/>
      <w:keepLines/>
      <w:spacing w:after="100" w:line="252" w:lineRule="auto"/>
    </w:pPr>
    <w:rPr>
      <w:sz w:val="24"/>
      <w:szCs w:val="24"/>
      <w:color w:val="000000"/>
      <w:rFonts w:ascii="Arial" w:hAnsi="Arial"/>
    </w:rPr>
  </w:style>
  <w:style w:styleId="Date" w:type="paragraph">
    <w:name w:val="Date"/>
    <w:basedOn w:val="Title"/>
    <w:next w:val="BodyText"/>
    <w:qFormat/>
    <w:pPr>
      <w:keepNext/>
      <w:keepLines/>
      <w:spacing w:after="100" w:line="252" w:lineRule="auto"/>
    </w:pPr>
    <w:rPr>
      <w:sz w:val="24"/>
      <w:szCs w:val="24"/>
      <w:color w:val="000000"/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100" w:line="252" w:lineRule="auto"/>
    </w:pPr>
    <w:rPr>
      <w:b/>
      <w:sz w:val="20"/>
      <w:szCs w:val="20"/>
      <w:color w:val="000000"/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00" w:line="252" w:lineRule="auto"/>
    </w:pPr>
    <w:rPr>
      <w:sz w:val="20"/>
      <w:szCs w:val="20"/>
      <w:color w:val="000000"/>
      <w:rFonts w:ascii="Arial" w:hAnsi="Arial"/>
    </w:rPr>
  </w:style>
  <w:style w:styleId="Bibliography" w:type="paragraph">
    <w:name w:val="Bibliography"/>
    <w:basedOn w:val="Normal"/>
    <w:next w:val="Bibliography"/>
    <w:qFormat/>
    <w:pPr>
      <w:spacing w:after="100" w:line="252" w:lineRule="auto"/>
    </w:pPr>
    <w:rPr>
      <w:color w:val="000000"/>
      <w:rFonts w:ascii="Arial" w:hAnsi="Arial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after="100" w:line="252" w:lineRule="auto"/>
      <w:keepNext/>
    </w:pPr>
    <w:rPr>
      <w:sz w:val="40"/>
      <w:szCs w:val="40"/>
      <w:color w:val="000000"/>
      <w:rFonts w:ascii="Arial" w:hAnsi="Arial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after="100" w:line="252" w:lineRule="auto"/>
      <w:keepNext/>
    </w:pPr>
    <w:rPr>
      <w:sz w:val="32"/>
      <w:szCs w:val="32"/>
      <w:color w:val="000000"/>
      <w:rFonts w:ascii="Arial" w:hAnsi="Arial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  <w:spacing w:after="100" w:line="252" w:lineRule="auto"/>
      <w:keepNext/>
    </w:pPr>
    <w:rPr>
      <w:sz w:val="28"/>
      <w:szCs w:val="28"/>
      <w:color w:val="000000"/>
      <w:rFonts w:ascii="Arial" w:hAnsi="Arial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  <w:spacing w:after="100" w:line="252" w:lineRule="auto"/>
      <w:keepNext/>
    </w:pPr>
    <w:rPr>
      <w:i/>
      <w:iCs/>
      <w:color w:val="000000"/>
      <w:rFonts w:ascii="Arial" w:hAnsi="Arial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  <w:spacing w:after="100" w:line="252" w:lineRule="auto"/>
      <w:keepNext/>
    </w:pPr>
    <w:rPr>
      <w:color w:val="000000"/>
      <w:rFonts w:ascii="Arial" w:hAnsi="Arial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  <w:spacing w:after="100" w:line="252" w:lineRule="auto"/>
      <w:keepNext/>
    </w:pPr>
    <w:rPr>
      <w:i/>
      <w:iCs/>
      <w:color w:val="000000"/>
      <w:rFonts w:ascii="Arial" w:hAnsi="Arial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  <w:spacing w:after="100" w:line="252" w:lineRule="auto"/>
      <w:keepNext/>
    </w:pPr>
    <w:rPr>
      <w:color w:val="000000"/>
      <w:rFonts w:ascii="Arial" w:hAnsi="Arial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  <w:spacing w:after="100" w:line="252" w:lineRule="auto"/>
      <w:keepNext/>
    </w:pPr>
    <w:rPr>
      <w:i/>
      <w:iCs/>
      <w:color w:val="000000"/>
      <w:rFonts w:ascii="Arial" w:hAnsi="Arial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  <w:spacing w:after="100" w:line="252" w:lineRule="auto"/>
      <w:keepNext/>
    </w:pPr>
    <w:rPr>
      <w:color w:val="000000"/>
      <w:rFonts w:ascii="Arial" w:hAnsi="Arial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sz w:val="40"/>
      <w:szCs w:val="40"/>
      <w:color w:val="000000"/>
      <w:rFonts w:ascii="Arial" w:hAnsi="Arial"/>
    </w:rPr>
    <w:pPr>
      <w:spacing w:after="100" w:line="252" w:lineRule="auto"/>
      <w:keepNext/>
    </w:p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sz w:val="32"/>
      <w:szCs w:val="32"/>
      <w:color w:val="000000"/>
      <w:rFonts w:ascii="Arial" w:hAnsi="Arial"/>
    </w:rPr>
    <w:pPr>
      <w:spacing w:after="100" w:line="252" w:lineRule="auto"/>
      <w:keepNext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sz w:val="28"/>
      <w:szCs w:val="28"/>
      <w:color w:val="000000"/>
      <w:rFonts w:ascii="Arial" w:hAnsi="Arial"/>
    </w:rPr>
    <w:pPr>
      <w:spacing w:after="100" w:line="252" w:lineRule="auto"/>
      <w:keepNext/>
    </w:p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i/>
      <w:iCs/>
      <w:color w:val="000000"/>
      <w:rFonts w:ascii="Arial" w:hAnsi="Arial"/>
    </w:rPr>
    <w:pPr>
      <w:spacing w:after="100" w:line="252" w:lineRule="auto"/>
      <w:keepNext/>
    </w:p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ascii="Arial" w:hAnsi="Arial"/>
    </w:rPr>
    <w:pPr>
      <w:spacing w:after="100" w:line="252" w:lineRule="auto"/>
      <w:keepNext/>
    </w:p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i/>
      <w:iCs/>
      <w:color w:val="000000"/>
      <w:rFonts w:ascii="Arial" w:hAnsi="Arial"/>
    </w:rPr>
    <w:pPr>
      <w:spacing w:after="100" w:line="252" w:lineRule="auto"/>
      <w:keepNext/>
    </w:p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color w:val="000000"/>
      <w:rFonts w:ascii="Arial" w:hAnsi="Arial"/>
    </w:rPr>
    <w:pPr>
      <w:spacing w:after="100" w:line="252" w:lineRule="auto"/>
      <w:keepNext/>
    </w:p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i/>
      <w:iCs/>
      <w:color w:val="000000"/>
      <w:rFonts w:ascii="Arial" w:hAnsi="Arial"/>
    </w:rPr>
    <w:pPr>
      <w:spacing w:after="100" w:line="252" w:lineRule="auto"/>
      <w:keepNext/>
    </w:p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color w:val="000000"/>
      <w:rFonts w:ascii="Arial" w:hAnsi="Arial"/>
    </w:rPr>
    <w:pPr>
      <w:spacing w:after="100" w:line="252" w:lineRule="auto"/>
      <w:keepNext/>
    </w:pPr>
  </w:style>
  <w:style w:styleId="BlockText" w:type="paragraph">
    <w:name w:val="Block Text"/>
    <w:basedOn w:val="BodyText"/>
    <w:next w:val="BodyText"/>
    <w:uiPriority w:val="9"/>
    <w:unhideWhenUsed/>
    <w:qFormat/>
    <w:pPr>
      <w:ind w:firstLine="0" w:left="480" w:right="480"/>
      <w:spacing w:after="100" w:line="252" w:lineRule="auto"/>
    </w:pPr>
    <w:rPr>
      <w:color w:val="000000"/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color w:val="000000"/>
      <w:rFonts w:ascii="Arial" w:hAnsi="Arial"/>
    </w:rPr>
    <w:pPr>
      <w:spacing w:after="100" w:line="252" w:lineRule="auto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ind w:firstLine="0" w:left="480" w:right="480"/>
      <w:spacing w:after="100" w:line="252" w:lineRule="auto"/>
    </w:pPr>
    <w:rPr>
      <w:color w:val="000000"/>
      <w:rFonts w:ascii="Arial" w:hAnsi="Arial"/>
    </w:rPr>
  </w:style>
  <w:style w:default="1" w:styleId="DefaultParagraphFont" w:type="character">
    <w:name w:val="Default Paragraph Font"/>
    <w:semiHidden/>
    <w:unhideWhenUsed/>
    <w:rPr>
      <w:color w:val="000000"/>
      <w:rFonts w:ascii="Arial" w:hAnsi="Arial"/>
    </w:rPr>
    <w:pPr>
      <w:spacing w:after="100" w:line="252" w:lineRule="auto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rPr>
      <w:color w:val="000000"/>
      <w:rFonts w:ascii="Arial" w:hAnsi="Arial"/>
    </w:rPr>
    <w:pPr>
      <w:spacing w:after="100" w:line="252" w:lineRule="auto"/>
    </w:pPr>
  </w:style>
  <w:style w:customStyle="1" w:styleId="DefinitionTerm" w:type="paragraph">
    <w:name w:val="Definition Term"/>
    <w:basedOn w:val="Normal"/>
    <w:next w:val="Definition"/>
    <w:pPr>
      <w:keepNext/>
      <w:keepLines/>
      <w:spacing w:after="100" w:line="252" w:lineRule="auto"/>
    </w:pPr>
    <w:rPr>
      <w:b/>
      <w:color w:val="000000"/>
      <w:rFonts w:ascii="Arial" w:hAnsi="Arial"/>
    </w:rPr>
  </w:style>
  <w:style w:customStyle="1" w:styleId="Definition" w:type="paragraph">
    <w:name w:val="Definition"/>
    <w:basedOn w:val="Normal"/>
    <w:rPr>
      <w:color w:val="000000"/>
      <w:rFonts w:ascii="Arial" w:hAnsi="Arial"/>
    </w:rPr>
    <w:pPr>
      <w:spacing w:after="100" w:line="252" w:lineRule="auto"/>
    </w:pPr>
  </w:style>
  <w:style w:styleId="Caption" w:type="paragraph">
    <w:name w:val="Caption"/>
    <w:basedOn w:val="Normal"/>
    <w:link w:val="BodyTextChar"/>
    <w:pPr>
      <w:spacing w:after="100" w:line="252" w:lineRule="auto"/>
    </w:pPr>
    <w:rPr>
      <w:i/>
      <w:color w:val="000000"/>
      <w:rFonts w:ascii="Arial" w:hAnsi="Arial"/>
    </w:rPr>
  </w:style>
  <w:style w:customStyle="1" w:styleId="TableCaption" w:type="paragraph">
    <w:name w:val="Table Caption"/>
    <w:basedOn w:val="Caption"/>
    <w:pPr>
      <w:keepNext/>
      <w:spacing w:after="100" w:line="252" w:lineRule="auto"/>
    </w:pPr>
    <w:rPr>
      <w:color w:val="000000"/>
      <w:rFonts w:ascii="Arial" w:hAnsi="Arial"/>
    </w:rPr>
  </w:style>
  <w:style w:customStyle="1" w:styleId="ImageCaption" w:type="paragraph">
    <w:name w:val="Image Caption"/>
    <w:basedOn w:val="Caption"/>
    <w:rPr>
      <w:color w:val="000000"/>
      <w:rFonts w:ascii="Arial" w:hAnsi="Arial"/>
    </w:rPr>
    <w:pPr>
      <w:spacing w:after="100" w:line="252" w:lineRule="auto"/>
    </w:pPr>
  </w:style>
  <w:style w:customStyle="1" w:styleId="Figure" w:type="paragraph">
    <w:name w:val="Figure"/>
    <w:basedOn w:val="Normal"/>
    <w:rPr>
      <w:color w:val="000000"/>
      <w:rFonts w:ascii="Arial" w:hAnsi="Arial"/>
    </w:rPr>
    <w:pPr>
      <w:spacing w:after="100" w:line="252" w:lineRule="auto"/>
    </w:pPr>
  </w:style>
  <w:style w:customStyle="1" w:styleId="CaptionedFigure" w:type="paragraph">
    <w:name w:val="Captioned Figure"/>
    <w:basedOn w:val="Figure"/>
    <w:pPr>
      <w:keepNext/>
      <w:spacing w:after="100" w:line="252" w:lineRule="auto"/>
    </w:pPr>
    <w:rPr>
      <w:color w:val="000000"/>
      <w:rFonts w:ascii="Arial" w:hAnsi="Arial"/>
    </w:rPr>
  </w:style>
  <w:style w:customStyle="1" w:styleId="BodyTextChar" w:type="character">
    <w:name w:val="Body Text Char"/>
    <w:basedOn w:val="DefaultParagraphFont"/>
    <w:link w:val="BodyText"/>
    <w:rPr>
      <w:color w:val="000000"/>
      <w:rFonts w:ascii="Arial" w:hAnsi="Arial"/>
    </w:rPr>
    <w:pPr>
      <w:spacing w:after="100" w:line="252" w:lineRule="auto"/>
    </w:pPr>
  </w:style>
  <w:style w:customStyle="1" w:styleId="VerbatimChar" w:type="character">
    <w:name w:val="Verbatim Char"/>
    <w:basedOn w:val="BodyTextChar"/>
    <w:rPr>
      <w:sz w:val="22"/>
      <w:color w:val="000000"/>
      <w:rFonts w:ascii="Arial" w:hAnsi="Arial"/>
      <w:rFonts w:ascii="Courier New" w:hAnsi="Courier New"/>
      <w:sz w:val="18"/>
    </w:rPr>
    <w:pPr>
      <w:spacing w:after="100" w:line="252" w:lineRule="auto"/>
    </w:pPr>
  </w:style>
  <w:style w:customStyle="1" w:styleId="SectionNumber" w:type="character">
    <w:name w:val="Section Number"/>
    <w:basedOn w:val="BodyTextChar"/>
    <w:rPr>
      <w:color w:val="000000"/>
      <w:rFonts w:ascii="Arial" w:hAnsi="Arial"/>
    </w:rPr>
    <w:pPr>
      <w:spacing w:after="100" w:line="252" w:lineRule="auto"/>
    </w:pPr>
  </w:style>
  <w:style w:styleId="FootnoteReference" w:type="character">
    <w:name w:val="Footnote Reference"/>
    <w:basedOn w:val="BodyTextChar"/>
    <w:rPr>
      <w:vertAlign w:val="superscript"/>
      <w:color w:val="000000"/>
      <w:rFonts w:ascii="Arial" w:hAnsi="Arial"/>
    </w:rPr>
    <w:pPr>
      <w:spacing w:after="100" w:line="252" w:lineRule="auto"/>
    </w:pPr>
  </w:style>
  <w:style w:styleId="Hyperlink" w:type="character">
    <w:name w:val="Hyperlink"/>
    <w:basedOn w:val="BodyTextChar"/>
    <w:rPr>
      <w:color w:val="000000"/>
      <w:rFonts w:ascii="Arial" w:hAnsi="Arial"/>
    </w:rPr>
    <w:pPr>
      <w:spacing w:after="100" w:line="252" w:lineRule="auto"/>
    </w:p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  <w:spacing w:after="100" w:line="252" w:lineRule="auto"/>
      <w:keepNext/>
    </w:pPr>
    <w:rPr>
      <w:b w:val="0"/>
      <w:bCs w:val="0"/>
      <w:color w:val="000000"/>
      <w:rFonts w:ascii="Arial" w:hAnsi="Arial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</w:rPr>
  </w:style>
  <w:style w:type="character" w:customStyle="1" w:styleId="DataTypeTok">
    <w:name w:val="DataTypeTok"/>
    <w:basedOn w:val="VerbatimChar"/>
    <w:rPr>
      <w:u/>
    </w:rPr>
  </w:style>
  <w:style w:type="character" w:customStyle="1" w:styleId="DecValTok">
    <w:name w:val="DecValTok"/>
    <w:basedOn w:val="VerbatimChar"/>
    <w:rPr/>
  </w:style>
  <w:style w:type="character" w:customStyle="1" w:styleId="BaseNTok">
    <w:name w:val="BaseNTok"/>
    <w:basedOn w:val="VerbatimChar"/>
    <w:rPr/>
  </w:style>
  <w:style w:type="character" w:customStyle="1" w:styleId="FloatTok">
    <w:name w:val="FloatTok"/>
    <w:basedOn w:val="VerbatimChar"/>
    <w:rPr/>
  </w:style>
  <w:style w:type="character" w:customStyle="1" w:styleId="ConstantTok">
    <w:name w:val="ConstantTok"/>
    <w:basedOn w:val="VerbatimChar"/>
    <w:rPr/>
  </w:style>
  <w:style w:type="character" w:customStyle="1" w:styleId="CharTok">
    <w:name w:val="CharTok"/>
    <w:basedOn w:val="VerbatimChar"/>
    <w:rPr/>
  </w:style>
  <w:style w:type="character" w:customStyle="1" w:styleId="SpecialCharTok">
    <w:name w:val="SpecialCharTok"/>
    <w:basedOn w:val="VerbatimChar"/>
    <w:rPr/>
  </w:style>
  <w:style w:type="character" w:customStyle="1" w:styleId="StringTok">
    <w:name w:val="StringTok"/>
    <w:basedOn w:val="VerbatimChar"/>
    <w:rPr/>
  </w:style>
  <w:style w:type="character" w:customStyle="1" w:styleId="VerbatimStringTok">
    <w:name w:val="VerbatimStringTok"/>
    <w:basedOn w:val="VerbatimChar"/>
    <w:rPr/>
  </w:style>
  <w:style w:type="character" w:customStyle="1" w:styleId="SpecialStringTok">
    <w:name w:val="SpecialStringTok"/>
    <w:basedOn w:val="VerbatimChar"/>
    <w:rPr/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i/>
    </w:rPr>
  </w:style>
  <w:style w:type="character" w:customStyle="1" w:styleId="DocumentationTok">
    <w:name w:val="DocumentationTok"/>
    <w:basedOn w:val="VerbatimChar"/>
    <w:rPr>
      <w:i/>
    </w:rPr>
  </w:style>
  <w:style w:type="character" w:customStyle="1" w:styleId="AnnotationTok">
    <w:name w:val="AnnotationTok"/>
    <w:basedOn w:val="VerbatimChar"/>
    <w:rPr>
      <w:i/>
    </w:rPr>
  </w:style>
  <w:style w:type="character" w:customStyle="1" w:styleId="CommentVarTok">
    <w:name w:val="CommentVarTok"/>
    <w:basedOn w:val="VerbatimChar"/>
    <w:rPr>
      <w:i/>
    </w:rPr>
  </w:style>
  <w:style w:type="character" w:customStyle="1" w:styleId="OtherTok">
    <w:name w:val="OtherTok"/>
    <w:basedOn w:val="VerbatimChar"/>
    <w:rPr/>
  </w:style>
  <w:style w:type="character" w:customStyle="1" w:styleId="FunctionTok">
    <w:name w:val="FunctionTok"/>
    <w:basedOn w:val="VerbatimChar"/>
    <w:rPr/>
  </w:style>
  <w:style w:type="character" w:customStyle="1" w:styleId="VariableTok">
    <w:name w:val="VariableTok"/>
    <w:basedOn w:val="VerbatimChar"/>
    <w:rPr/>
  </w:style>
  <w:style w:type="character" w:customStyle="1" w:styleId="ControlFlowTok">
    <w:name w:val="ControlFlowTok"/>
    <w:basedOn w:val="VerbatimChar"/>
    <w:rPr>
      <w:b/>
    </w:rPr>
  </w:style>
  <w:style w:type="character" w:customStyle="1" w:styleId="OperatorTok">
    <w:name w:val="OperatorTok"/>
    <w:basedOn w:val="VerbatimChar"/>
    <w:rPr/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b/>
    </w:rPr>
  </w:style>
  <w:style w:type="character" w:customStyle="1" w:styleId="AttributeTok">
    <w:name w:val="AttributeTok"/>
    <w:basedOn w:val="VerbatimChar"/>
    <w:rPr/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</w:rPr>
  </w:style>
  <w:style w:type="character" w:customStyle="1" w:styleId="WarningTok">
    <w:name w:val="WarningTok"/>
    <w:basedOn w:val="VerbatimChar"/>
    <w:rPr>
      <w:i/>
    </w:rPr>
  </w:style>
  <w:style w:type="character" w:customStyle="1" w:styleId="AlertTok">
    <w:name w:val="AlertTok"/>
    <w:basedOn w:val="VerbatimChar"/>
    <w:rPr>
      <w:b/>
    </w:rPr>
  </w:style>
  <w:style w:type="character" w:customStyle="1" w:styleId="ErrorTok">
    <w:name w:val="ErrorTok"/>
    <w:basedOn w:val="VerbatimChar"/>
    <w:rPr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8" Target="numbering.xml" /><ns0:Relationship Type="http://schemas.openxmlformats.org/officeDocument/2006/relationships/styles" Id="rId7" Target="styles.xml" /><ns0:Relationship Type="http://schemas.openxmlformats.org/officeDocument/2006/relationships/settings" Id="rId6" Target="settings.xml" /><ns0:Relationship Type="http://schemas.openxmlformats.org/officeDocument/2006/relationships/webSettings" Id="rId5" Target="webSettings.xml" /><ns0:Relationship Type="http://schemas.openxmlformats.org/officeDocument/2006/relationships/fontTable" Id="rId4" Target="fontTable.xml" /><ns0:Relationship Type="http://schemas.openxmlformats.org/officeDocument/2006/relationships/theme" Id="rId3" Target="theme/theme1.xml" /><ns0:Relationship Type="http://schemas.openxmlformats.org/officeDocument/2006/relationships/footnotes" Id="rId2" Target="footnotes.xml" /><ns0:Relationship Type="http://schemas.openxmlformats.org/officeDocument/2006/relationships/comments" Id="rId1" Target="comments.xml" /><ns0:Relationship Id="rIdDossierFooter" Type="http://schemas.openxmlformats.org/officeDocument/2006/relationships/footer" Target="footer-dossier.xml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2026-10-17T13:20:27Z</dcterms:created>
  <dcterms:modified xsi:type="dcterms:W3CDTF">2026-10-17T13:20:27Z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